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044"/>
        <w:gridCol w:w="3040"/>
        <w:gridCol w:w="3045"/>
      </w:tblGrid>
      <w:tr w:rsidR="00281B9B" w:rsidTr="00281B9B">
        <w:trPr>
          <w:cnfStyle w:val="100000000000" w:firstRow="1" w:lastRow="0" w:firstColumn="0" w:lastColumn="0" w:oddVBand="0" w:evenVBand="0" w:oddHBand="0" w:evenHBand="0" w:firstRowFirstColumn="0" w:firstRowLastColumn="0" w:lastRowFirstColumn="0" w:lastRowLastColumn="0"/>
        </w:trPr>
        <w:tc>
          <w:tcPr>
            <w:tcW w:w="3080" w:type="dxa"/>
          </w:tcPr>
          <w:p w:rsidR="00281B9B" w:rsidRDefault="00281B9B" w:rsidP="00281B9B">
            <w:pPr>
              <w:pStyle w:val="BodyText"/>
            </w:pPr>
            <w:r>
              <w:t>Version</w:t>
            </w:r>
          </w:p>
        </w:tc>
        <w:tc>
          <w:tcPr>
            <w:tcW w:w="3081" w:type="dxa"/>
          </w:tcPr>
          <w:p w:rsidR="00281B9B" w:rsidRDefault="00281B9B" w:rsidP="00281B9B">
            <w:pPr>
              <w:pStyle w:val="BodyText"/>
            </w:pPr>
            <w:r>
              <w:t>Date</w:t>
            </w:r>
          </w:p>
        </w:tc>
        <w:tc>
          <w:tcPr>
            <w:tcW w:w="3081" w:type="dxa"/>
          </w:tcPr>
          <w:p w:rsidR="00281B9B" w:rsidRDefault="00281B9B" w:rsidP="00281B9B">
            <w:pPr>
              <w:pStyle w:val="BodyText"/>
            </w:pPr>
            <w:r>
              <w:t>Last edited By</w:t>
            </w:r>
          </w:p>
        </w:tc>
      </w:tr>
      <w:tr w:rsidR="00281B9B" w:rsidTr="00281B9B">
        <w:tc>
          <w:tcPr>
            <w:tcW w:w="3080" w:type="dxa"/>
          </w:tcPr>
          <w:p w:rsidR="00281B9B" w:rsidRDefault="00281B9B" w:rsidP="00281B9B">
            <w:pPr>
              <w:pStyle w:val="BodyText"/>
            </w:pPr>
            <w:r>
              <w:t>V7</w:t>
            </w:r>
          </w:p>
        </w:tc>
        <w:tc>
          <w:tcPr>
            <w:tcW w:w="3081" w:type="dxa"/>
          </w:tcPr>
          <w:p w:rsidR="00281B9B" w:rsidRDefault="00281B9B" w:rsidP="00281B9B">
            <w:pPr>
              <w:pStyle w:val="BodyText"/>
            </w:pPr>
            <w:r>
              <w:t>17 Feb 16</w:t>
            </w:r>
          </w:p>
        </w:tc>
        <w:tc>
          <w:tcPr>
            <w:tcW w:w="3081" w:type="dxa"/>
          </w:tcPr>
          <w:p w:rsidR="00281B9B" w:rsidRDefault="00281B9B" w:rsidP="00281B9B">
            <w:pPr>
              <w:pStyle w:val="BodyText"/>
            </w:pPr>
            <w:r>
              <w:t>Greg Preston</w:t>
            </w:r>
          </w:p>
        </w:tc>
      </w:tr>
    </w:tbl>
    <w:p w:rsidR="00310275" w:rsidRDefault="00B17AF7" w:rsidP="00B17AF7">
      <w:pPr>
        <w:pStyle w:val="Heading1"/>
        <w:jc w:val="center"/>
      </w:pPr>
      <w:bookmarkStart w:id="0" w:name="_GoBack"/>
      <w:bookmarkEnd w:id="0"/>
      <w:r>
        <w:t>Towards New Zealand Guidelines for Pipe Renewals</w:t>
      </w:r>
      <w:r w:rsidR="0048022B">
        <w:t xml:space="preserve"> </w:t>
      </w:r>
    </w:p>
    <w:p w:rsidR="00024F0D" w:rsidRDefault="00024F0D" w:rsidP="00024F0D">
      <w:pPr>
        <w:pStyle w:val="Heading2"/>
      </w:pPr>
      <w:r>
        <w:t>Objectives</w:t>
      </w:r>
    </w:p>
    <w:p w:rsidR="00024F0D" w:rsidRDefault="00024F0D" w:rsidP="00024F0D">
      <w:pPr>
        <w:pStyle w:val="BodyText"/>
      </w:pPr>
      <w:r>
        <w:t xml:space="preserve">To provide guidance and tools to enable New Zealand Water organisations to implement advanced asset management </w:t>
      </w:r>
      <w:r w:rsidRPr="00EF72CD">
        <w:t xml:space="preserve">processes </w:t>
      </w:r>
      <w:r>
        <w:t xml:space="preserve">to develop </w:t>
      </w:r>
      <w:r w:rsidRPr="00EF72CD">
        <w:t>inspection, maintenance</w:t>
      </w:r>
      <w:r>
        <w:t xml:space="preserve"> and renewal strategies for pipework in </w:t>
      </w:r>
      <w:r w:rsidRPr="00EF72CD">
        <w:t>potable water, wastewater and storm</w:t>
      </w:r>
      <w:r w:rsidR="00B86616">
        <w:t xml:space="preserve"> </w:t>
      </w:r>
      <w:r w:rsidRPr="00EF72CD">
        <w:t>water systems.</w:t>
      </w:r>
    </w:p>
    <w:p w:rsidR="00024F0D" w:rsidRDefault="00024F0D" w:rsidP="00024F0D">
      <w:pPr>
        <w:pStyle w:val="BodyText"/>
      </w:pPr>
      <w:r>
        <w:t>Using these processes organisations across New Zealand will be able to produce long-term strategies that optimise cost, risk and level of service using a consistent framework.  They will be able to show the implications of adopting alternative strategies and select the strategy that best suits the needs of their community. The accuracy of forecasts will be improved by lessons learnt being shared and specific research being undertaken.</w:t>
      </w:r>
    </w:p>
    <w:p w:rsidR="00024F0D" w:rsidRDefault="00024F0D" w:rsidP="00024F0D">
      <w:pPr>
        <w:pStyle w:val="BodyText"/>
      </w:pPr>
      <w:r>
        <w:t xml:space="preserve">The focus will initially be on pipework assets as they make up the largest proportion of water systems, but over time the scope will be extended to other assets. </w:t>
      </w:r>
    </w:p>
    <w:p w:rsidR="00024F0D" w:rsidRDefault="00024F0D" w:rsidP="00B86616">
      <w:pPr>
        <w:pStyle w:val="Heading3"/>
      </w:pPr>
      <w:r>
        <w:t>Key Approaches</w:t>
      </w:r>
    </w:p>
    <w:p w:rsidR="00024F0D" w:rsidRPr="00024F0D" w:rsidRDefault="00024F0D" w:rsidP="00024F0D">
      <w:pPr>
        <w:pStyle w:val="ListBullet"/>
      </w:pPr>
      <w:r w:rsidRPr="00024F0D">
        <w:t>Aim for common framework and analysis methods, but allow organisations to interpret them to suit the differing needs of their communities.</w:t>
      </w:r>
    </w:p>
    <w:p w:rsidR="00024F0D" w:rsidRPr="00024F0D" w:rsidRDefault="00024F0D" w:rsidP="00024F0D">
      <w:pPr>
        <w:pStyle w:val="ListBullet"/>
      </w:pPr>
      <w:r w:rsidRPr="00024F0D">
        <w:t>Do not reinvent the wheel.  Use oversea guidance where applicable to New Zealand.</w:t>
      </w:r>
    </w:p>
    <w:p w:rsidR="00B17AF7" w:rsidRDefault="00B17AF7" w:rsidP="00B17AF7">
      <w:pPr>
        <w:pStyle w:val="Heading2"/>
      </w:pPr>
      <w:r>
        <w:t>Context</w:t>
      </w:r>
    </w:p>
    <w:p w:rsidR="00BA5346" w:rsidRDefault="00E77AEE" w:rsidP="00B17AF7">
      <w:pPr>
        <w:pStyle w:val="BodyText"/>
        <w:rPr>
          <w:lang w:val="en-AU"/>
        </w:rPr>
      </w:pPr>
      <w:r w:rsidRPr="00E77AEE">
        <w:rPr>
          <w:lang w:val="en-AU"/>
        </w:rPr>
        <w:t xml:space="preserve">In 2014, the total replacement value of the 3 waters assets in New Zealand was estimated </w:t>
      </w:r>
      <w:r>
        <w:rPr>
          <w:lang w:val="en-AU"/>
        </w:rPr>
        <w:t xml:space="preserve">to be </w:t>
      </w:r>
      <w:r w:rsidRPr="00E77AEE">
        <w:rPr>
          <w:lang w:val="en-AU"/>
        </w:rPr>
        <w:t>about NZ$45.2 billion. The wastewater network had the highest replacement value at around NZ$17.8 billion, followed by drinking water assets at NZ$16.2 billion and storm water at NZ$11.2 billion.</w:t>
      </w:r>
      <w:r w:rsidRPr="00E77AEE">
        <w:rPr>
          <w:vertAlign w:val="superscript"/>
          <w:lang w:val="en-AU"/>
        </w:rPr>
        <w:footnoteReference w:id="1"/>
      </w:r>
      <w:r w:rsidRPr="00E77AEE">
        <w:rPr>
          <w:lang w:val="en-AU"/>
        </w:rPr>
        <w:t xml:space="preserve"> </w:t>
      </w:r>
      <w:r>
        <w:rPr>
          <w:lang w:val="en-AU"/>
        </w:rPr>
        <w:t xml:space="preserve">It is estimated that many of these assets will need to be replaced </w:t>
      </w:r>
      <w:r w:rsidR="00A1385F">
        <w:rPr>
          <w:lang w:val="en-AU"/>
        </w:rPr>
        <w:t>with</w:t>
      </w:r>
      <w:r>
        <w:rPr>
          <w:lang w:val="en-AU"/>
        </w:rPr>
        <w:t xml:space="preserve">in the next 30 years which </w:t>
      </w:r>
      <w:r w:rsidR="00A1385F">
        <w:rPr>
          <w:lang w:val="en-AU"/>
        </w:rPr>
        <w:t xml:space="preserve">potentially </w:t>
      </w:r>
      <w:r>
        <w:rPr>
          <w:lang w:val="en-AU"/>
        </w:rPr>
        <w:t xml:space="preserve">puts </w:t>
      </w:r>
      <w:r w:rsidR="00B86616">
        <w:rPr>
          <w:lang w:val="en-AU"/>
        </w:rPr>
        <w:t>the</w:t>
      </w:r>
      <w:r>
        <w:rPr>
          <w:lang w:val="en-AU"/>
        </w:rPr>
        <w:t xml:space="preserve"> annual renewals bill in the order of NZ$1.5 billion</w:t>
      </w:r>
      <w:r w:rsidR="00022908">
        <w:rPr>
          <w:lang w:val="en-AU"/>
        </w:rPr>
        <w:t xml:space="preserve"> per year</w:t>
      </w:r>
      <w:r>
        <w:rPr>
          <w:lang w:val="en-AU"/>
        </w:rPr>
        <w:t xml:space="preserve">. </w:t>
      </w:r>
      <w:r w:rsidRPr="00E77AEE">
        <w:rPr>
          <w:lang w:val="en-AU"/>
        </w:rPr>
        <w:t>As these assets are upgraded or replaced, many difficult decisions will need to be made in respect to the trade-offs between Levels of Service, capital costs, operating costs and management of risk</w:t>
      </w:r>
      <w:r w:rsidR="00BA5346">
        <w:rPr>
          <w:lang w:val="en-AU"/>
        </w:rPr>
        <w:t xml:space="preserve">.  </w:t>
      </w:r>
      <w:r w:rsidR="007A3671">
        <w:rPr>
          <w:lang w:val="en-AU"/>
        </w:rPr>
        <w:t>In addition to this</w:t>
      </w:r>
      <w:r>
        <w:rPr>
          <w:lang w:val="en-AU"/>
        </w:rPr>
        <w:t xml:space="preserve">, the </w:t>
      </w:r>
      <w:r w:rsidR="00B86616">
        <w:rPr>
          <w:lang w:val="en-AU"/>
        </w:rPr>
        <w:t xml:space="preserve">ownership and </w:t>
      </w:r>
      <w:r>
        <w:rPr>
          <w:lang w:val="en-AU"/>
        </w:rPr>
        <w:t xml:space="preserve">governance structures of the 3 waters are varied across the country as are the </w:t>
      </w:r>
      <w:r w:rsidR="00CC46AB">
        <w:rPr>
          <w:lang w:val="en-AU"/>
        </w:rPr>
        <w:t>business practices</w:t>
      </w:r>
      <w:r w:rsidR="00022908">
        <w:rPr>
          <w:lang w:val="en-AU"/>
        </w:rPr>
        <w:t xml:space="preserve"> and procurement systems</w:t>
      </w:r>
      <w:r w:rsidR="00A1385F">
        <w:rPr>
          <w:lang w:val="en-AU"/>
        </w:rPr>
        <w:t>.</w:t>
      </w:r>
      <w:r w:rsidR="00BA5346">
        <w:rPr>
          <w:lang w:val="en-AU"/>
        </w:rPr>
        <w:t xml:space="preserve">  If even a small percentage of the possible renewals cost can be saved by a better understanding of the renewals process, this would amount to many millions of dollars that may be invested more productively elsewhere.</w:t>
      </w:r>
    </w:p>
    <w:p w:rsidR="00024F0D" w:rsidRDefault="00024F0D" w:rsidP="00024F0D">
      <w:pPr>
        <w:pStyle w:val="BodyText"/>
      </w:pPr>
      <w:r w:rsidRPr="003C16A0">
        <w:t>Local Government New Zealand’s “3 Waters Project”, highlighted that Councils are investing significant resources in trying to address this challenge   – each operating in independent silos and not taking advantage of a shared approach.</w:t>
      </w:r>
    </w:p>
    <w:p w:rsidR="00024F0D" w:rsidRDefault="00024F0D" w:rsidP="00024F0D">
      <w:pPr>
        <w:pStyle w:val="BodyText"/>
      </w:pPr>
      <w:r>
        <w:lastRenderedPageBreak/>
        <w:t xml:space="preserve">MBIE &amp; LINZ are implementing a project to </w:t>
      </w:r>
      <w:r w:rsidRPr="003C16A0">
        <w:t xml:space="preserve">explore the implementation of shared data standards </w:t>
      </w:r>
      <w:r>
        <w:t xml:space="preserve">(Metadata Standards) </w:t>
      </w:r>
      <w:r w:rsidRPr="003C16A0">
        <w:t>for water infrastructu</w:t>
      </w:r>
      <w:r>
        <w:t xml:space="preserve">re and built assets (buildings).  This </w:t>
      </w:r>
      <w:r w:rsidRPr="003C16A0">
        <w:t>is linked to</w:t>
      </w:r>
      <w:r>
        <w:t xml:space="preserve"> a separate </w:t>
      </w:r>
      <w:proofErr w:type="spellStart"/>
      <w:r>
        <w:t>roading</w:t>
      </w:r>
      <w:proofErr w:type="spellEnd"/>
      <w:r>
        <w:t xml:space="preserve"> initiative.  The intension of these projects is that “w</w:t>
      </w:r>
      <w:r w:rsidRPr="00522184">
        <w:t>ith shared infrastructure data standards used by all infrastructure providers; infrastructure condition and performance would be comparable and could be benchmarked, data analysis could be automated and best practice established, and entities can more easily engage in joint procurement initiatives or shared services arrangements.</w:t>
      </w:r>
      <w:r>
        <w:t>”</w:t>
      </w:r>
      <w:r w:rsidRPr="00522184">
        <w:t xml:space="preserve"> </w:t>
      </w:r>
      <w:r>
        <w:t xml:space="preserve"> To gain the benefit of these projects, work needs to be undertaken to develop tools and guidance to show how this data can be developed into information that can be used for renewals planning.</w:t>
      </w:r>
    </w:p>
    <w:p w:rsidR="00024F0D" w:rsidRDefault="00024F0D" w:rsidP="00024F0D">
      <w:pPr>
        <w:pStyle w:val="BodyText"/>
      </w:pPr>
      <w:r>
        <w:t>Whilst there are a number of guidance documents available such as the International Infrastructure Management Manual these outline generic management approaches.  There is a need for guidance and tools specifically developed for water assets that move the discussion from general process to implementation.</w:t>
      </w:r>
    </w:p>
    <w:p w:rsidR="00024F0D" w:rsidRPr="00B86616" w:rsidRDefault="00024F0D" w:rsidP="00B17AF7">
      <w:pPr>
        <w:pStyle w:val="BodyText"/>
        <w:rPr>
          <w:lang w:eastAsia="en-GB"/>
        </w:rPr>
      </w:pPr>
      <w:r>
        <w:rPr>
          <w:lang w:eastAsia="en-GB"/>
        </w:rPr>
        <w:t>A significant amount of data is available from SCIRT on the Christchurch water systems.  This is currently being analysed to gain learnings on how to improve the seismic resilience of water systems, but it can also provide valuable learnings on renewal requirements under business as usual.</w:t>
      </w:r>
    </w:p>
    <w:p w:rsidR="00B17AF7" w:rsidRDefault="00B17AF7" w:rsidP="00B17AF7">
      <w:pPr>
        <w:pStyle w:val="Heading2"/>
      </w:pPr>
      <w:r>
        <w:t>Uncovering the need</w:t>
      </w:r>
    </w:p>
    <w:p w:rsidR="00582932" w:rsidRDefault="00A1385F" w:rsidP="00B17AF7">
      <w:pPr>
        <w:pStyle w:val="BodyText"/>
      </w:pPr>
      <w:r>
        <w:t>On 2 Feb 2016, the Quake Centre convened a workshop to explore the needs</w:t>
      </w:r>
      <w:r w:rsidR="003141EB">
        <w:t xml:space="preserve"> of the sector</w:t>
      </w:r>
      <w:r>
        <w:t xml:space="preserve"> in respect to pipe renewals standards and guidance. The </w:t>
      </w:r>
      <w:r w:rsidR="003141EB">
        <w:t xml:space="preserve">24 participants from a broad spread of the sector showed a high degree of agreement as to the need. The framework that was drafted at this workshop is laid out in Appendix A: Framework for Pipe Renewals Guidance. There was general understanding that much of this material already exists in some form but a coordinated effort is required to collate, update and </w:t>
      </w:r>
      <w:r w:rsidR="00221601">
        <w:t>share this information.</w:t>
      </w:r>
      <w:r w:rsidR="00BA5346">
        <w:t xml:space="preserve"> There were </w:t>
      </w:r>
      <w:r w:rsidR="007A3671">
        <w:t xml:space="preserve">also </w:t>
      </w:r>
      <w:r w:rsidR="00BA5346">
        <w:t>significant gaps that were uncovered, some of which will require long-term research.</w:t>
      </w:r>
    </w:p>
    <w:p w:rsidR="00024F0D" w:rsidRDefault="00024F0D" w:rsidP="00B17AF7">
      <w:pPr>
        <w:pStyle w:val="BodyText"/>
      </w:pPr>
      <w:r>
        <w:t xml:space="preserve">Post the workshop, </w:t>
      </w:r>
      <w:r w:rsidR="004A4F01">
        <w:t xml:space="preserve">Philip McFarlane of Opus put </w:t>
      </w:r>
      <w:r>
        <w:t>some</w:t>
      </w:r>
      <w:r w:rsidR="004A4F01">
        <w:t xml:space="preserve"> thought</w:t>
      </w:r>
      <w:r>
        <w:t xml:space="preserve"> into the f</w:t>
      </w:r>
      <w:r w:rsidR="004A4F01">
        <w:t>ramework outlined in Appendix A. He</w:t>
      </w:r>
      <w:r w:rsidR="00050705">
        <w:t xml:space="preserve"> has</w:t>
      </w:r>
      <w:r w:rsidR="004A4F01">
        <w:t xml:space="preserve"> developed</w:t>
      </w:r>
      <w:r>
        <w:t xml:space="preserve"> a list of actions </w:t>
      </w:r>
      <w:r w:rsidR="004A4F01">
        <w:t xml:space="preserve">which is laid out </w:t>
      </w:r>
      <w:r>
        <w:t xml:space="preserve">in </w:t>
      </w:r>
      <w:r w:rsidR="00050705">
        <w:t>below.</w:t>
      </w:r>
    </w:p>
    <w:p w:rsidR="00582932" w:rsidRDefault="00F64FE5" w:rsidP="00F64FE5">
      <w:pPr>
        <w:pStyle w:val="Heading3"/>
      </w:pPr>
      <w:r>
        <w:t>Scope</w:t>
      </w:r>
    </w:p>
    <w:p w:rsidR="00B86616" w:rsidRDefault="00F64FE5" w:rsidP="00F54898">
      <w:pPr>
        <w:pStyle w:val="BodyText"/>
      </w:pPr>
      <w:r>
        <w:t xml:space="preserve">The workshop did not identify a divide between the needs of the urban and rural sectors. However, to maintain an achievable outcome in the first instance, it is suggested that the </w:t>
      </w:r>
      <w:r w:rsidR="00F54898">
        <w:t xml:space="preserve">initial </w:t>
      </w:r>
      <w:r>
        <w:t xml:space="preserve">scope of guidance and standards is limited to 3 water pipe networks within the urban environment. </w:t>
      </w:r>
    </w:p>
    <w:p w:rsidR="00F54898" w:rsidRDefault="00F54898" w:rsidP="00B17AF7">
      <w:pPr>
        <w:pStyle w:val="Heading2"/>
      </w:pPr>
    </w:p>
    <w:p w:rsidR="00F54898" w:rsidRDefault="00F54898" w:rsidP="00B17AF7">
      <w:pPr>
        <w:pStyle w:val="Heading2"/>
      </w:pPr>
    </w:p>
    <w:p w:rsidR="00050705" w:rsidRDefault="00050705" w:rsidP="00B17AF7">
      <w:pPr>
        <w:pStyle w:val="Heading2"/>
      </w:pPr>
    </w:p>
    <w:p w:rsidR="00050705" w:rsidRDefault="00050705">
      <w:pPr>
        <w:spacing w:after="200" w:line="0" w:lineRule="auto"/>
        <w:rPr>
          <w:rFonts w:ascii="Calibri" w:eastAsia="Arial" w:hAnsi="Calibri" w:cs="Arial"/>
          <w:b/>
          <w:bCs/>
          <w:iCs/>
          <w:color w:val="323232"/>
          <w:sz w:val="32"/>
          <w:szCs w:val="28"/>
          <w:lang w:val="en-NZ"/>
        </w:rPr>
      </w:pPr>
      <w:r>
        <w:br w:type="page"/>
      </w:r>
    </w:p>
    <w:p w:rsidR="00050705" w:rsidRPr="00B86616" w:rsidRDefault="00050705" w:rsidP="00050705">
      <w:pPr>
        <w:pStyle w:val="Heading2"/>
        <w:keepNext/>
        <w:numPr>
          <w:ilvl w:val="1"/>
          <w:numId w:val="0"/>
        </w:numPr>
        <w:tabs>
          <w:tab w:val="num" w:pos="709"/>
        </w:tabs>
        <w:spacing w:before="0" w:after="220" w:line="264" w:lineRule="auto"/>
        <w:ind w:left="709" w:hanging="709"/>
      </w:pPr>
      <w:r>
        <w:lastRenderedPageBreak/>
        <w:t>Tools and Guidance to be developed</w:t>
      </w:r>
    </w:p>
    <w:tbl>
      <w:tblPr>
        <w:tblStyle w:val="TableGrid1"/>
        <w:tblW w:w="0" w:type="auto"/>
        <w:tblLook w:val="04A0" w:firstRow="1" w:lastRow="0" w:firstColumn="1" w:lastColumn="0" w:noHBand="0" w:noVBand="1"/>
      </w:tblPr>
      <w:tblGrid>
        <w:gridCol w:w="1615"/>
        <w:gridCol w:w="7514"/>
      </w:tblGrid>
      <w:tr w:rsidR="00050705" w:rsidRPr="00120AEC" w:rsidTr="00870931">
        <w:trPr>
          <w:cnfStyle w:val="100000000000" w:firstRow="1" w:lastRow="0" w:firstColumn="0" w:lastColumn="0" w:oddVBand="0" w:evenVBand="0" w:oddHBand="0" w:evenHBand="0" w:firstRowFirstColumn="0" w:firstRowLastColumn="0" w:lastRowFirstColumn="0" w:lastRowLastColumn="0"/>
        </w:trPr>
        <w:tc>
          <w:tcPr>
            <w:tcW w:w="1615" w:type="dxa"/>
          </w:tcPr>
          <w:p w:rsidR="00050705" w:rsidRPr="00120AEC" w:rsidRDefault="00050705" w:rsidP="00870931">
            <w:pPr>
              <w:keepLines/>
              <w:spacing w:before="120" w:line="240" w:lineRule="atLeast"/>
              <w:rPr>
                <w:rFonts w:asciiTheme="minorHAnsi" w:hAnsiTheme="minorHAnsi"/>
                <w:b/>
                <w:color w:val="000000" w:themeColor="text1"/>
                <w:sz w:val="24"/>
                <w:szCs w:val="19"/>
                <w:lang w:val="en-NZ"/>
              </w:rPr>
            </w:pPr>
            <w:r w:rsidRPr="00120AEC">
              <w:rPr>
                <w:rFonts w:asciiTheme="minorHAnsi" w:hAnsiTheme="minorHAnsi"/>
                <w:b/>
                <w:color w:val="000000" w:themeColor="text1"/>
                <w:sz w:val="24"/>
                <w:szCs w:val="19"/>
                <w:lang w:val="en-NZ"/>
              </w:rPr>
              <w:t>Theme</w:t>
            </w:r>
          </w:p>
        </w:tc>
        <w:tc>
          <w:tcPr>
            <w:tcW w:w="7514" w:type="dxa"/>
          </w:tcPr>
          <w:p w:rsidR="00050705" w:rsidRPr="00120AEC" w:rsidRDefault="00050705" w:rsidP="00870931">
            <w:pPr>
              <w:keepLines/>
              <w:spacing w:before="120" w:line="240" w:lineRule="atLeast"/>
              <w:rPr>
                <w:rFonts w:asciiTheme="minorHAnsi" w:hAnsiTheme="minorHAnsi"/>
                <w:b/>
                <w:color w:val="000000" w:themeColor="text1"/>
                <w:sz w:val="24"/>
                <w:szCs w:val="19"/>
                <w:lang w:val="en-NZ" w:eastAsia="en-GB"/>
              </w:rPr>
            </w:pPr>
            <w:r w:rsidRPr="00120AEC">
              <w:rPr>
                <w:rFonts w:asciiTheme="minorHAnsi" w:hAnsiTheme="minorHAnsi"/>
                <w:b/>
                <w:color w:val="000000" w:themeColor="text1"/>
                <w:sz w:val="24"/>
                <w:szCs w:val="19"/>
                <w:lang w:val="en-NZ" w:eastAsia="en-GB"/>
              </w:rPr>
              <w:t>Condition</w:t>
            </w:r>
          </w:p>
        </w:tc>
      </w:tr>
      <w:tr w:rsidR="00050705" w:rsidRPr="00120AEC" w:rsidTr="00870931">
        <w:tc>
          <w:tcPr>
            <w:tcW w:w="1615" w:type="dxa"/>
          </w:tcPr>
          <w:p w:rsidR="00050705" w:rsidRPr="00120AEC" w:rsidRDefault="00050705" w:rsidP="00870931">
            <w:pPr>
              <w:keepLines/>
              <w:spacing w:before="120" w:line="240" w:lineRule="atLeast"/>
              <w:rPr>
                <w:rFonts w:asciiTheme="minorHAnsi" w:hAnsiTheme="minorHAnsi"/>
                <w:b/>
                <w:color w:val="000000" w:themeColor="text1"/>
                <w:sz w:val="24"/>
                <w:szCs w:val="19"/>
                <w:lang w:val="en-NZ"/>
              </w:rPr>
            </w:pPr>
            <w:r w:rsidRPr="00120AEC">
              <w:rPr>
                <w:rFonts w:asciiTheme="minorHAnsi" w:hAnsiTheme="minorHAnsi"/>
                <w:b/>
                <w:color w:val="000000" w:themeColor="text1"/>
                <w:sz w:val="24"/>
                <w:szCs w:val="19"/>
                <w:lang w:val="en-NZ"/>
              </w:rPr>
              <w:t>Scope</w:t>
            </w:r>
          </w:p>
        </w:tc>
        <w:tc>
          <w:tcPr>
            <w:tcW w:w="7514" w:type="dxa"/>
          </w:tcPr>
          <w:p w:rsidR="00050705" w:rsidRPr="001008B2" w:rsidRDefault="00050705" w:rsidP="00870931">
            <w:pPr>
              <w:keepLines/>
              <w:spacing w:before="120" w:line="240" w:lineRule="atLeast"/>
              <w:rPr>
                <w:rFonts w:asciiTheme="minorHAnsi" w:hAnsiTheme="minorHAnsi"/>
                <w:color w:val="000000" w:themeColor="text1"/>
                <w:sz w:val="24"/>
                <w:szCs w:val="19"/>
                <w:lang w:val="en-NZ"/>
              </w:rPr>
            </w:pPr>
            <w:r w:rsidRPr="001008B2">
              <w:rPr>
                <w:rFonts w:asciiTheme="minorHAnsi" w:hAnsiTheme="minorHAnsi"/>
                <w:color w:val="000000" w:themeColor="text1"/>
                <w:sz w:val="24"/>
                <w:szCs w:val="19"/>
                <w:lang w:val="en-NZ"/>
              </w:rPr>
              <w:t>Undertake the appropriate level of Condition Assessment</w:t>
            </w:r>
          </w:p>
        </w:tc>
      </w:tr>
      <w:tr w:rsidR="00050705" w:rsidRPr="00120AEC" w:rsidTr="00870931">
        <w:tc>
          <w:tcPr>
            <w:tcW w:w="1615" w:type="dxa"/>
          </w:tcPr>
          <w:p w:rsidR="00050705" w:rsidRPr="00120AEC" w:rsidRDefault="00050705" w:rsidP="00870931">
            <w:pPr>
              <w:keepLines/>
              <w:spacing w:before="120" w:line="240" w:lineRule="atLeast"/>
              <w:rPr>
                <w:rFonts w:asciiTheme="minorHAnsi" w:hAnsiTheme="minorHAnsi"/>
                <w:b/>
                <w:color w:val="000000" w:themeColor="text1"/>
                <w:sz w:val="24"/>
                <w:szCs w:val="19"/>
                <w:lang w:val="en-NZ"/>
              </w:rPr>
            </w:pPr>
            <w:r>
              <w:rPr>
                <w:rFonts w:asciiTheme="minorHAnsi" w:hAnsiTheme="minorHAnsi"/>
                <w:b/>
                <w:color w:val="000000" w:themeColor="text1"/>
                <w:sz w:val="24"/>
                <w:szCs w:val="19"/>
                <w:lang w:val="en-NZ"/>
              </w:rPr>
              <w:t>Actions</w:t>
            </w:r>
          </w:p>
        </w:tc>
        <w:tc>
          <w:tcPr>
            <w:tcW w:w="7514" w:type="dxa"/>
          </w:tcPr>
          <w:p w:rsidR="00050705" w:rsidRPr="001626E8" w:rsidRDefault="00050705" w:rsidP="00870931">
            <w:pPr>
              <w:pStyle w:val="ListParagraph"/>
              <w:keepLines/>
              <w:numPr>
                <w:ilvl w:val="0"/>
                <w:numId w:val="13"/>
              </w:numPr>
              <w:spacing w:before="120" w:after="40" w:line="240" w:lineRule="atLeast"/>
              <w:ind w:left="540" w:hanging="425"/>
              <w:contextualSpacing w:val="0"/>
              <w:rPr>
                <w:rFonts w:asciiTheme="minorHAnsi" w:hAnsiTheme="minorHAnsi"/>
                <w:i/>
                <w:color w:val="000000" w:themeColor="text1"/>
                <w:sz w:val="24"/>
                <w:szCs w:val="19"/>
                <w:lang w:val="en-NZ"/>
              </w:rPr>
            </w:pPr>
            <w:r>
              <w:rPr>
                <w:rFonts w:asciiTheme="minorHAnsi" w:hAnsiTheme="minorHAnsi"/>
                <w:i/>
                <w:color w:val="000000" w:themeColor="text1"/>
                <w:sz w:val="24"/>
                <w:szCs w:val="19"/>
                <w:lang w:val="en-NZ"/>
              </w:rPr>
              <w:t>Develop guidance document that defines which assets should be inspected and how often based on likelihood and consequence of failure and predicted deterioration.  Whereas the IIMM and other documents outline the generic process, this document will provide specific guidance on inspection requirements and frequencies.  The document will provide guidance on assessing assumed condition where appropriate for assets with a low consequence of failure.</w:t>
            </w:r>
          </w:p>
        </w:tc>
      </w:tr>
      <w:tr w:rsidR="00050705" w:rsidRPr="00120AEC" w:rsidTr="00870931">
        <w:tc>
          <w:tcPr>
            <w:tcW w:w="1615" w:type="dxa"/>
          </w:tcPr>
          <w:p w:rsidR="00050705" w:rsidRPr="00120AEC" w:rsidRDefault="00050705" w:rsidP="00870931">
            <w:pPr>
              <w:keepLines/>
              <w:spacing w:before="120" w:line="240" w:lineRule="atLeast"/>
              <w:rPr>
                <w:rFonts w:asciiTheme="minorHAnsi" w:hAnsiTheme="minorHAnsi"/>
                <w:b/>
                <w:color w:val="000000" w:themeColor="text1"/>
                <w:sz w:val="24"/>
                <w:szCs w:val="19"/>
                <w:lang w:val="en-NZ"/>
              </w:rPr>
            </w:pPr>
            <w:r w:rsidRPr="00120AEC">
              <w:rPr>
                <w:rFonts w:asciiTheme="minorHAnsi" w:hAnsiTheme="minorHAnsi"/>
                <w:b/>
                <w:color w:val="000000" w:themeColor="text1"/>
                <w:sz w:val="24"/>
                <w:szCs w:val="19"/>
                <w:lang w:val="en-NZ"/>
              </w:rPr>
              <w:t>Scope</w:t>
            </w:r>
          </w:p>
        </w:tc>
        <w:tc>
          <w:tcPr>
            <w:tcW w:w="7514" w:type="dxa"/>
          </w:tcPr>
          <w:p w:rsidR="00050705" w:rsidRPr="00120AEC" w:rsidRDefault="00050705" w:rsidP="00870931">
            <w:pPr>
              <w:keepLines/>
              <w:spacing w:before="120" w:line="240" w:lineRule="atLeast"/>
              <w:rPr>
                <w:rFonts w:asciiTheme="minorHAnsi" w:hAnsiTheme="minorHAnsi"/>
                <w:i/>
                <w:color w:val="000000" w:themeColor="text1"/>
                <w:sz w:val="24"/>
                <w:szCs w:val="19"/>
                <w:lang w:val="en-NZ"/>
              </w:rPr>
            </w:pPr>
            <w:r>
              <w:rPr>
                <w:rFonts w:asciiTheme="minorHAnsi" w:hAnsiTheme="minorHAnsi"/>
                <w:i/>
                <w:color w:val="000000" w:themeColor="text1"/>
                <w:sz w:val="24"/>
                <w:szCs w:val="19"/>
                <w:lang w:val="en-NZ"/>
              </w:rPr>
              <w:t>Use of Appropriate Condition Assessment Techniques</w:t>
            </w:r>
          </w:p>
        </w:tc>
      </w:tr>
      <w:tr w:rsidR="00050705" w:rsidRPr="00120AEC" w:rsidTr="00870931">
        <w:tc>
          <w:tcPr>
            <w:tcW w:w="1615" w:type="dxa"/>
          </w:tcPr>
          <w:p w:rsidR="00050705" w:rsidRPr="00120AEC" w:rsidRDefault="00050705" w:rsidP="00870931">
            <w:pPr>
              <w:keepLines/>
              <w:spacing w:before="120" w:line="240" w:lineRule="atLeast"/>
              <w:rPr>
                <w:rFonts w:asciiTheme="minorHAnsi" w:hAnsiTheme="minorHAnsi"/>
                <w:b/>
                <w:color w:val="000000" w:themeColor="text1"/>
                <w:sz w:val="24"/>
                <w:szCs w:val="19"/>
                <w:lang w:val="en-NZ"/>
              </w:rPr>
            </w:pPr>
            <w:r>
              <w:rPr>
                <w:rFonts w:asciiTheme="minorHAnsi" w:hAnsiTheme="minorHAnsi"/>
                <w:b/>
                <w:color w:val="000000" w:themeColor="text1"/>
                <w:sz w:val="24"/>
                <w:szCs w:val="19"/>
                <w:lang w:val="en-NZ"/>
              </w:rPr>
              <w:t>Actions</w:t>
            </w:r>
          </w:p>
        </w:tc>
        <w:tc>
          <w:tcPr>
            <w:tcW w:w="7514" w:type="dxa"/>
          </w:tcPr>
          <w:p w:rsidR="00050705" w:rsidRDefault="00050705" w:rsidP="00870931">
            <w:pPr>
              <w:pStyle w:val="ListParagraph"/>
              <w:keepLines/>
              <w:numPr>
                <w:ilvl w:val="0"/>
                <w:numId w:val="14"/>
              </w:numPr>
              <w:spacing w:before="120" w:after="40" w:line="240" w:lineRule="atLeast"/>
              <w:ind w:left="540" w:hanging="425"/>
              <w:contextualSpacing w:val="0"/>
              <w:rPr>
                <w:rFonts w:asciiTheme="minorHAnsi" w:hAnsiTheme="minorHAnsi"/>
                <w:i/>
                <w:color w:val="000000" w:themeColor="text1"/>
                <w:sz w:val="24"/>
                <w:szCs w:val="19"/>
                <w:lang w:val="en-NZ"/>
              </w:rPr>
            </w:pPr>
            <w:r>
              <w:rPr>
                <w:rFonts w:asciiTheme="minorHAnsi" w:hAnsiTheme="minorHAnsi"/>
                <w:i/>
                <w:color w:val="000000" w:themeColor="text1"/>
                <w:sz w:val="24"/>
                <w:szCs w:val="19"/>
                <w:lang w:val="en-NZ"/>
              </w:rPr>
              <w:t xml:space="preserve">Update </w:t>
            </w:r>
            <w:r w:rsidRPr="00120AEC">
              <w:rPr>
                <w:rFonts w:asciiTheme="minorHAnsi" w:hAnsiTheme="minorHAnsi"/>
                <w:i/>
                <w:color w:val="000000" w:themeColor="text1"/>
                <w:sz w:val="24"/>
                <w:szCs w:val="19"/>
                <w:lang w:val="en-NZ"/>
              </w:rPr>
              <w:t xml:space="preserve">Pipe Inspection Manual </w:t>
            </w:r>
            <w:r>
              <w:rPr>
                <w:rFonts w:asciiTheme="minorHAnsi" w:hAnsiTheme="minorHAnsi"/>
                <w:i/>
                <w:color w:val="000000" w:themeColor="text1"/>
                <w:sz w:val="24"/>
                <w:szCs w:val="19"/>
                <w:lang w:val="en-NZ"/>
              </w:rPr>
              <w:t xml:space="preserve">– amend grading approach so that </w:t>
            </w:r>
            <w:proofErr w:type="spellStart"/>
            <w:r>
              <w:rPr>
                <w:rFonts w:asciiTheme="minorHAnsi" w:hAnsiTheme="minorHAnsi"/>
                <w:i/>
                <w:color w:val="000000" w:themeColor="text1"/>
                <w:sz w:val="24"/>
                <w:szCs w:val="19"/>
                <w:lang w:val="en-NZ"/>
              </w:rPr>
              <w:t>gradings</w:t>
            </w:r>
            <w:proofErr w:type="spellEnd"/>
            <w:r>
              <w:rPr>
                <w:rFonts w:asciiTheme="minorHAnsi" w:hAnsiTheme="minorHAnsi"/>
                <w:i/>
                <w:color w:val="000000" w:themeColor="text1"/>
                <w:sz w:val="24"/>
                <w:szCs w:val="19"/>
                <w:lang w:val="en-NZ"/>
              </w:rPr>
              <w:t xml:space="preserve"> assigned better reflect the need for renewal.  Update fault photographs and general update.</w:t>
            </w:r>
          </w:p>
          <w:p w:rsidR="00050705" w:rsidRDefault="00050705" w:rsidP="00870931">
            <w:pPr>
              <w:pStyle w:val="ListParagraph"/>
              <w:keepLines/>
              <w:numPr>
                <w:ilvl w:val="0"/>
                <w:numId w:val="14"/>
              </w:numPr>
              <w:spacing w:before="120" w:after="40" w:line="240" w:lineRule="atLeast"/>
              <w:ind w:left="540" w:hanging="425"/>
              <w:contextualSpacing w:val="0"/>
              <w:rPr>
                <w:rFonts w:asciiTheme="minorHAnsi" w:hAnsiTheme="minorHAnsi"/>
                <w:i/>
                <w:color w:val="000000" w:themeColor="text1"/>
                <w:sz w:val="24"/>
                <w:szCs w:val="19"/>
                <w:lang w:val="en-NZ"/>
              </w:rPr>
            </w:pPr>
            <w:r>
              <w:rPr>
                <w:rFonts w:asciiTheme="minorHAnsi" w:hAnsiTheme="minorHAnsi"/>
                <w:i/>
                <w:color w:val="000000" w:themeColor="text1"/>
                <w:sz w:val="24"/>
                <w:szCs w:val="19"/>
                <w:lang w:val="en-NZ"/>
              </w:rPr>
              <w:t>Provide guidance on condition assessment of pressure pipes.  Outline p</w:t>
            </w:r>
            <w:r w:rsidRPr="001626E8">
              <w:rPr>
                <w:rFonts w:asciiTheme="minorHAnsi" w:hAnsiTheme="minorHAnsi"/>
                <w:i/>
                <w:color w:val="000000" w:themeColor="text1"/>
                <w:sz w:val="24"/>
                <w:szCs w:val="19"/>
                <w:lang w:val="en-NZ"/>
              </w:rPr>
              <w:t xml:space="preserve">ros, cons, comparisons and calibration of new </w:t>
            </w:r>
            <w:r>
              <w:rPr>
                <w:rFonts w:asciiTheme="minorHAnsi" w:hAnsiTheme="minorHAnsi"/>
                <w:i/>
                <w:color w:val="000000" w:themeColor="text1"/>
                <w:sz w:val="24"/>
                <w:szCs w:val="19"/>
                <w:lang w:val="en-NZ"/>
              </w:rPr>
              <w:t xml:space="preserve">non-destructive </w:t>
            </w:r>
            <w:r w:rsidRPr="001626E8">
              <w:rPr>
                <w:rFonts w:asciiTheme="minorHAnsi" w:hAnsiTheme="minorHAnsi"/>
                <w:i/>
                <w:color w:val="000000" w:themeColor="text1"/>
                <w:sz w:val="24"/>
                <w:szCs w:val="19"/>
                <w:lang w:val="en-NZ"/>
              </w:rPr>
              <w:t>technologies</w:t>
            </w:r>
            <w:r>
              <w:rPr>
                <w:rFonts w:asciiTheme="minorHAnsi" w:hAnsiTheme="minorHAnsi"/>
                <w:i/>
                <w:color w:val="000000" w:themeColor="text1"/>
                <w:sz w:val="24"/>
                <w:szCs w:val="19"/>
                <w:lang w:val="en-NZ"/>
              </w:rPr>
              <w:t xml:space="preserve"> (review oversea guidance and use where appropriate).</w:t>
            </w:r>
          </w:p>
          <w:p w:rsidR="00050705" w:rsidRPr="001626E8" w:rsidRDefault="00050705" w:rsidP="00870931">
            <w:pPr>
              <w:pStyle w:val="ListParagraph"/>
              <w:keepLines/>
              <w:numPr>
                <w:ilvl w:val="0"/>
                <w:numId w:val="14"/>
              </w:numPr>
              <w:spacing w:before="120" w:after="40" w:line="240" w:lineRule="atLeast"/>
              <w:ind w:left="540" w:hanging="425"/>
              <w:contextualSpacing w:val="0"/>
              <w:rPr>
                <w:rFonts w:asciiTheme="minorHAnsi" w:hAnsiTheme="minorHAnsi"/>
                <w:i/>
                <w:color w:val="000000" w:themeColor="text1"/>
                <w:sz w:val="24"/>
                <w:szCs w:val="19"/>
                <w:lang w:val="en-NZ"/>
              </w:rPr>
            </w:pPr>
            <w:r>
              <w:rPr>
                <w:rFonts w:asciiTheme="minorHAnsi" w:hAnsiTheme="minorHAnsi"/>
                <w:i/>
                <w:color w:val="000000" w:themeColor="text1"/>
                <w:sz w:val="24"/>
                <w:szCs w:val="19"/>
                <w:lang w:val="en-NZ"/>
              </w:rPr>
              <w:t>Update asbestos cement pipe manual – already underway (</w:t>
            </w:r>
            <w:proofErr w:type="spellStart"/>
            <w:r>
              <w:rPr>
                <w:rFonts w:asciiTheme="minorHAnsi" w:hAnsiTheme="minorHAnsi"/>
                <w:i/>
                <w:color w:val="000000" w:themeColor="text1"/>
                <w:sz w:val="24"/>
                <w:szCs w:val="19"/>
                <w:lang w:val="en-NZ"/>
              </w:rPr>
              <w:t>WaterNZ</w:t>
            </w:r>
            <w:proofErr w:type="spellEnd"/>
            <w:r>
              <w:rPr>
                <w:rFonts w:asciiTheme="minorHAnsi" w:hAnsiTheme="minorHAnsi"/>
                <w:i/>
                <w:color w:val="000000" w:themeColor="text1"/>
                <w:sz w:val="24"/>
                <w:szCs w:val="19"/>
                <w:lang w:val="en-NZ"/>
              </w:rPr>
              <w:t>/Opus)</w:t>
            </w:r>
          </w:p>
        </w:tc>
      </w:tr>
    </w:tbl>
    <w:p w:rsidR="00050705" w:rsidRPr="00120AEC" w:rsidRDefault="00050705" w:rsidP="00050705">
      <w:pPr>
        <w:keepLines/>
        <w:spacing w:before="120" w:after="200" w:line="240" w:lineRule="atLeast"/>
        <w:rPr>
          <w:rFonts w:asciiTheme="minorHAnsi" w:hAnsiTheme="minorHAnsi"/>
          <w:color w:val="000000" w:themeColor="text1"/>
          <w:sz w:val="24"/>
          <w:szCs w:val="19"/>
          <w:lang w:val="en-NZ"/>
        </w:rPr>
      </w:pPr>
    </w:p>
    <w:p w:rsidR="00050705" w:rsidRPr="00120AEC" w:rsidRDefault="00050705" w:rsidP="00050705">
      <w:pPr>
        <w:keepLines/>
        <w:spacing w:before="120" w:after="200" w:line="240" w:lineRule="atLeast"/>
        <w:rPr>
          <w:rFonts w:asciiTheme="minorHAnsi" w:hAnsiTheme="minorHAnsi"/>
          <w:color w:val="000000" w:themeColor="text1"/>
          <w:sz w:val="24"/>
          <w:szCs w:val="19"/>
          <w:lang w:val="en-NZ"/>
        </w:rPr>
      </w:pPr>
    </w:p>
    <w:tbl>
      <w:tblPr>
        <w:tblStyle w:val="TableGrid1"/>
        <w:tblW w:w="0" w:type="auto"/>
        <w:tblLook w:val="04A0" w:firstRow="1" w:lastRow="0" w:firstColumn="1" w:lastColumn="0" w:noHBand="0" w:noVBand="1"/>
      </w:tblPr>
      <w:tblGrid>
        <w:gridCol w:w="1615"/>
        <w:gridCol w:w="7514"/>
      </w:tblGrid>
      <w:tr w:rsidR="00050705" w:rsidRPr="00120AEC" w:rsidTr="00870931">
        <w:trPr>
          <w:cnfStyle w:val="100000000000" w:firstRow="1" w:lastRow="0" w:firstColumn="0" w:lastColumn="0" w:oddVBand="0" w:evenVBand="0" w:oddHBand="0" w:evenHBand="0" w:firstRowFirstColumn="0" w:firstRowLastColumn="0" w:lastRowFirstColumn="0" w:lastRowLastColumn="0"/>
        </w:trPr>
        <w:tc>
          <w:tcPr>
            <w:tcW w:w="1615" w:type="dxa"/>
          </w:tcPr>
          <w:p w:rsidR="00050705" w:rsidRPr="00120AEC" w:rsidRDefault="00050705" w:rsidP="00870931">
            <w:pPr>
              <w:keepLines/>
              <w:spacing w:before="120" w:line="240" w:lineRule="atLeast"/>
              <w:rPr>
                <w:rFonts w:asciiTheme="minorHAnsi" w:hAnsiTheme="minorHAnsi"/>
                <w:b/>
                <w:color w:val="000000" w:themeColor="text1"/>
                <w:sz w:val="24"/>
                <w:szCs w:val="19"/>
                <w:lang w:val="en-NZ"/>
              </w:rPr>
            </w:pPr>
            <w:r w:rsidRPr="00120AEC">
              <w:rPr>
                <w:rFonts w:asciiTheme="minorHAnsi" w:hAnsiTheme="minorHAnsi"/>
                <w:b/>
                <w:color w:val="000000" w:themeColor="text1"/>
                <w:sz w:val="24"/>
                <w:szCs w:val="19"/>
                <w:lang w:val="en-NZ"/>
              </w:rPr>
              <w:t>Theme</w:t>
            </w:r>
          </w:p>
        </w:tc>
        <w:tc>
          <w:tcPr>
            <w:tcW w:w="7514" w:type="dxa"/>
          </w:tcPr>
          <w:p w:rsidR="00050705" w:rsidRPr="00120AEC" w:rsidRDefault="00050705" w:rsidP="00870931">
            <w:pPr>
              <w:keepLines/>
              <w:spacing w:before="120" w:line="240" w:lineRule="atLeast"/>
              <w:rPr>
                <w:rFonts w:asciiTheme="minorHAnsi" w:hAnsiTheme="minorHAnsi"/>
                <w:b/>
                <w:color w:val="000000" w:themeColor="text1"/>
                <w:sz w:val="24"/>
                <w:szCs w:val="19"/>
                <w:lang w:val="en-NZ" w:eastAsia="en-GB"/>
              </w:rPr>
            </w:pPr>
            <w:r w:rsidRPr="00120AEC">
              <w:rPr>
                <w:rFonts w:asciiTheme="minorHAnsi" w:hAnsiTheme="minorHAnsi"/>
                <w:b/>
                <w:color w:val="000000" w:themeColor="text1"/>
                <w:sz w:val="24"/>
                <w:szCs w:val="19"/>
                <w:lang w:val="en-NZ" w:eastAsia="en-GB"/>
              </w:rPr>
              <w:t>Pipe Vulnerability and Likelihood of Failure</w:t>
            </w:r>
            <w:r w:rsidRPr="001008B2">
              <w:rPr>
                <w:rFonts w:asciiTheme="minorHAnsi" w:hAnsiTheme="minorHAnsi"/>
                <w:b/>
                <w:color w:val="000000" w:themeColor="text1"/>
                <w:sz w:val="24"/>
                <w:szCs w:val="19"/>
                <w:lang w:val="en-NZ" w:eastAsia="en-GB"/>
              </w:rPr>
              <w:t xml:space="preserve"> (BAU)</w:t>
            </w:r>
          </w:p>
        </w:tc>
      </w:tr>
      <w:tr w:rsidR="00050705" w:rsidRPr="00120AEC" w:rsidTr="00870931">
        <w:tc>
          <w:tcPr>
            <w:tcW w:w="1615" w:type="dxa"/>
          </w:tcPr>
          <w:p w:rsidR="00050705" w:rsidRPr="00120AEC" w:rsidRDefault="00050705" w:rsidP="00870931">
            <w:pPr>
              <w:keepLines/>
              <w:spacing w:before="120" w:line="240" w:lineRule="atLeast"/>
              <w:rPr>
                <w:rFonts w:asciiTheme="minorHAnsi" w:hAnsiTheme="minorHAnsi"/>
                <w:b/>
                <w:color w:val="000000" w:themeColor="text1"/>
                <w:sz w:val="24"/>
                <w:szCs w:val="19"/>
                <w:lang w:val="en-NZ"/>
              </w:rPr>
            </w:pPr>
            <w:r>
              <w:rPr>
                <w:rFonts w:asciiTheme="minorHAnsi" w:hAnsiTheme="minorHAnsi"/>
                <w:b/>
                <w:color w:val="000000" w:themeColor="text1"/>
                <w:sz w:val="24"/>
                <w:szCs w:val="19"/>
                <w:lang w:val="en-NZ"/>
              </w:rPr>
              <w:t>Scope</w:t>
            </w:r>
          </w:p>
        </w:tc>
        <w:tc>
          <w:tcPr>
            <w:tcW w:w="7514" w:type="dxa"/>
          </w:tcPr>
          <w:p w:rsidR="00050705" w:rsidRPr="00120AEC" w:rsidRDefault="00050705" w:rsidP="00870931">
            <w:pPr>
              <w:keepLines/>
              <w:spacing w:before="120" w:line="240" w:lineRule="atLeast"/>
              <w:rPr>
                <w:rFonts w:asciiTheme="minorHAnsi" w:hAnsiTheme="minorHAnsi"/>
                <w:color w:val="000000" w:themeColor="text1"/>
                <w:sz w:val="24"/>
                <w:szCs w:val="19"/>
                <w:lang w:val="en-NZ"/>
              </w:rPr>
            </w:pPr>
            <w:r>
              <w:rPr>
                <w:rFonts w:asciiTheme="minorHAnsi" w:hAnsiTheme="minorHAnsi"/>
                <w:color w:val="000000" w:themeColor="text1"/>
                <w:sz w:val="24"/>
                <w:szCs w:val="19"/>
                <w:lang w:val="en-NZ" w:eastAsia="en-GB"/>
              </w:rPr>
              <w:t>Understand</w:t>
            </w:r>
            <w:r w:rsidRPr="00DB0792">
              <w:rPr>
                <w:rFonts w:asciiTheme="minorHAnsi" w:hAnsiTheme="minorHAnsi"/>
                <w:color w:val="000000" w:themeColor="text1"/>
                <w:sz w:val="24"/>
                <w:szCs w:val="19"/>
                <w:lang w:val="en-NZ" w:eastAsia="en-GB"/>
              </w:rPr>
              <w:t xml:space="preserve"> how pipes deteriorate and how this affects level of service</w:t>
            </w:r>
            <w:r>
              <w:rPr>
                <w:rFonts w:asciiTheme="minorHAnsi" w:hAnsiTheme="minorHAnsi"/>
                <w:color w:val="000000" w:themeColor="text1"/>
                <w:sz w:val="24"/>
                <w:szCs w:val="19"/>
                <w:lang w:val="en-NZ" w:eastAsia="en-GB"/>
              </w:rPr>
              <w:t>, risk and renewal</w:t>
            </w:r>
            <w:r w:rsidRPr="00DB0792">
              <w:rPr>
                <w:rFonts w:asciiTheme="minorHAnsi" w:hAnsiTheme="minorHAnsi"/>
                <w:color w:val="000000" w:themeColor="text1"/>
                <w:sz w:val="24"/>
                <w:szCs w:val="19"/>
                <w:lang w:val="en-NZ" w:eastAsia="en-GB"/>
              </w:rPr>
              <w:t xml:space="preserve"> predictions.</w:t>
            </w:r>
          </w:p>
        </w:tc>
      </w:tr>
      <w:tr w:rsidR="00050705" w:rsidRPr="00120AEC" w:rsidTr="00870931">
        <w:tc>
          <w:tcPr>
            <w:tcW w:w="1615" w:type="dxa"/>
          </w:tcPr>
          <w:p w:rsidR="00050705" w:rsidRPr="00120AEC" w:rsidRDefault="00050705" w:rsidP="00870931">
            <w:pPr>
              <w:keepLines/>
              <w:spacing w:before="120" w:line="240" w:lineRule="atLeast"/>
              <w:rPr>
                <w:rFonts w:asciiTheme="minorHAnsi" w:hAnsiTheme="minorHAnsi"/>
                <w:b/>
                <w:color w:val="000000" w:themeColor="text1"/>
                <w:sz w:val="24"/>
                <w:szCs w:val="19"/>
                <w:lang w:val="en-NZ"/>
              </w:rPr>
            </w:pPr>
            <w:r>
              <w:rPr>
                <w:rFonts w:asciiTheme="minorHAnsi" w:hAnsiTheme="minorHAnsi"/>
                <w:b/>
                <w:color w:val="000000" w:themeColor="text1"/>
                <w:sz w:val="24"/>
                <w:szCs w:val="19"/>
                <w:lang w:val="en-NZ"/>
              </w:rPr>
              <w:t>Actions</w:t>
            </w:r>
          </w:p>
        </w:tc>
        <w:tc>
          <w:tcPr>
            <w:tcW w:w="7514" w:type="dxa"/>
          </w:tcPr>
          <w:p w:rsidR="00050705" w:rsidRPr="00120AEC" w:rsidRDefault="00050705" w:rsidP="00870931">
            <w:pPr>
              <w:pStyle w:val="ListParagraph"/>
              <w:keepLines/>
              <w:numPr>
                <w:ilvl w:val="0"/>
                <w:numId w:val="15"/>
              </w:numPr>
              <w:spacing w:before="120" w:after="40" w:line="240" w:lineRule="atLeast"/>
              <w:ind w:left="540" w:hanging="425"/>
              <w:contextualSpacing w:val="0"/>
              <w:rPr>
                <w:rFonts w:asciiTheme="minorHAnsi" w:hAnsiTheme="minorHAnsi"/>
                <w:i/>
                <w:color w:val="000000" w:themeColor="text1"/>
                <w:sz w:val="24"/>
                <w:szCs w:val="19"/>
                <w:lang w:val="en-NZ"/>
              </w:rPr>
            </w:pPr>
            <w:r w:rsidRPr="007E5CF0">
              <w:rPr>
                <w:rFonts w:asciiTheme="minorHAnsi" w:hAnsiTheme="minorHAnsi"/>
                <w:i/>
                <w:color w:val="000000" w:themeColor="text1"/>
                <w:sz w:val="24"/>
                <w:szCs w:val="19"/>
                <w:lang w:val="en-NZ"/>
              </w:rPr>
              <w:t>Develop guidance document on expected failure modes for various pipe types (Opus pipe cohorts document might be able to be used as a starter)</w:t>
            </w:r>
          </w:p>
          <w:p w:rsidR="00050705" w:rsidRPr="00120AEC" w:rsidRDefault="00050705" w:rsidP="00870931">
            <w:pPr>
              <w:pStyle w:val="ListParagraph"/>
              <w:keepLines/>
              <w:numPr>
                <w:ilvl w:val="0"/>
                <w:numId w:val="15"/>
              </w:numPr>
              <w:spacing w:before="120" w:after="40" w:line="240" w:lineRule="atLeast"/>
              <w:ind w:left="540" w:hanging="425"/>
              <w:contextualSpacing w:val="0"/>
              <w:rPr>
                <w:rFonts w:asciiTheme="minorHAnsi" w:hAnsiTheme="minorHAnsi"/>
                <w:i/>
                <w:color w:val="000000" w:themeColor="text1"/>
                <w:sz w:val="24"/>
                <w:szCs w:val="19"/>
                <w:lang w:val="en-NZ"/>
              </w:rPr>
            </w:pPr>
            <w:r w:rsidRPr="007E5CF0">
              <w:rPr>
                <w:rFonts w:asciiTheme="minorHAnsi" w:hAnsiTheme="minorHAnsi"/>
                <w:i/>
                <w:color w:val="000000" w:themeColor="text1"/>
                <w:sz w:val="24"/>
                <w:szCs w:val="19"/>
                <w:lang w:val="en-NZ"/>
              </w:rPr>
              <w:t>Define standard useful lives for various pipe types (there is a large amount of variation in the standard useful lives currently in use, some of the published material is likely to be too conservative)</w:t>
            </w:r>
          </w:p>
          <w:p w:rsidR="00050705" w:rsidRPr="00120AEC" w:rsidRDefault="00050705" w:rsidP="00870931">
            <w:pPr>
              <w:pStyle w:val="ListParagraph"/>
              <w:keepLines/>
              <w:numPr>
                <w:ilvl w:val="0"/>
                <w:numId w:val="15"/>
              </w:numPr>
              <w:spacing w:before="120" w:after="40" w:line="240" w:lineRule="atLeast"/>
              <w:ind w:left="540" w:hanging="425"/>
              <w:contextualSpacing w:val="0"/>
              <w:rPr>
                <w:rFonts w:asciiTheme="minorHAnsi" w:hAnsiTheme="minorHAnsi"/>
                <w:i/>
                <w:color w:val="000000" w:themeColor="text1"/>
                <w:sz w:val="24"/>
                <w:szCs w:val="19"/>
                <w:lang w:val="en-NZ"/>
              </w:rPr>
            </w:pPr>
            <w:r w:rsidRPr="007E5CF0">
              <w:rPr>
                <w:rFonts w:asciiTheme="minorHAnsi" w:hAnsiTheme="minorHAnsi"/>
                <w:i/>
                <w:color w:val="000000" w:themeColor="text1"/>
                <w:sz w:val="24"/>
                <w:szCs w:val="19"/>
                <w:lang w:val="en-NZ"/>
              </w:rPr>
              <w:t xml:space="preserve">Implement a pipe failure database to record repairs and renewals.  In the future this can be analysed to refine useful life predictions </w:t>
            </w:r>
            <w:r>
              <w:rPr>
                <w:rFonts w:asciiTheme="minorHAnsi" w:hAnsiTheme="minorHAnsi"/>
                <w:i/>
                <w:color w:val="000000" w:themeColor="text1"/>
                <w:sz w:val="24"/>
                <w:szCs w:val="19"/>
                <w:lang w:val="en-NZ"/>
              </w:rPr>
              <w:t xml:space="preserve">and expected repair rates and LOS </w:t>
            </w:r>
            <w:r w:rsidRPr="007E5CF0">
              <w:rPr>
                <w:rFonts w:asciiTheme="minorHAnsi" w:hAnsiTheme="minorHAnsi"/>
                <w:i/>
                <w:color w:val="000000" w:themeColor="text1"/>
                <w:sz w:val="24"/>
                <w:szCs w:val="19"/>
                <w:lang w:val="en-NZ"/>
              </w:rPr>
              <w:t>(the UKWIR Database might be suitable)</w:t>
            </w:r>
          </w:p>
        </w:tc>
      </w:tr>
    </w:tbl>
    <w:p w:rsidR="00050705" w:rsidRDefault="00050705" w:rsidP="00050705">
      <w:pPr>
        <w:keepLines/>
        <w:spacing w:before="120" w:after="200" w:line="240" w:lineRule="atLeast"/>
        <w:rPr>
          <w:rFonts w:asciiTheme="minorHAnsi" w:hAnsiTheme="minorHAnsi"/>
          <w:color w:val="000000" w:themeColor="text1"/>
          <w:sz w:val="24"/>
          <w:szCs w:val="19"/>
          <w:lang w:val="en-NZ"/>
        </w:rPr>
      </w:pPr>
    </w:p>
    <w:tbl>
      <w:tblPr>
        <w:tblStyle w:val="TableGrid1"/>
        <w:tblW w:w="0" w:type="auto"/>
        <w:tblLook w:val="04A0" w:firstRow="1" w:lastRow="0" w:firstColumn="1" w:lastColumn="0" w:noHBand="0" w:noVBand="1"/>
      </w:tblPr>
      <w:tblGrid>
        <w:gridCol w:w="1615"/>
        <w:gridCol w:w="7514"/>
      </w:tblGrid>
      <w:tr w:rsidR="00050705" w:rsidRPr="00120AEC" w:rsidTr="00870931">
        <w:trPr>
          <w:cnfStyle w:val="100000000000" w:firstRow="1" w:lastRow="0" w:firstColumn="0" w:lastColumn="0" w:oddVBand="0" w:evenVBand="0" w:oddHBand="0" w:evenHBand="0" w:firstRowFirstColumn="0" w:firstRowLastColumn="0" w:lastRowFirstColumn="0" w:lastRowLastColumn="0"/>
        </w:trPr>
        <w:tc>
          <w:tcPr>
            <w:tcW w:w="1615" w:type="dxa"/>
          </w:tcPr>
          <w:p w:rsidR="00050705" w:rsidRPr="00120AEC" w:rsidRDefault="00050705" w:rsidP="00870931">
            <w:pPr>
              <w:keepLines/>
              <w:spacing w:before="120" w:line="240" w:lineRule="atLeast"/>
              <w:rPr>
                <w:rFonts w:asciiTheme="minorHAnsi" w:hAnsiTheme="minorHAnsi"/>
                <w:b/>
                <w:color w:val="000000" w:themeColor="text1"/>
                <w:sz w:val="24"/>
                <w:szCs w:val="19"/>
                <w:lang w:val="en-NZ"/>
              </w:rPr>
            </w:pPr>
            <w:r w:rsidRPr="00120AEC">
              <w:rPr>
                <w:rFonts w:asciiTheme="minorHAnsi" w:hAnsiTheme="minorHAnsi"/>
                <w:b/>
                <w:color w:val="000000" w:themeColor="text1"/>
                <w:sz w:val="24"/>
                <w:szCs w:val="19"/>
                <w:lang w:val="en-NZ"/>
              </w:rPr>
              <w:lastRenderedPageBreak/>
              <w:t>Theme</w:t>
            </w:r>
          </w:p>
        </w:tc>
        <w:tc>
          <w:tcPr>
            <w:tcW w:w="7514" w:type="dxa"/>
          </w:tcPr>
          <w:p w:rsidR="00050705" w:rsidRPr="00120AEC" w:rsidRDefault="00050705" w:rsidP="00870931">
            <w:pPr>
              <w:keepLines/>
              <w:spacing w:before="120" w:line="240" w:lineRule="atLeast"/>
              <w:rPr>
                <w:rFonts w:asciiTheme="minorHAnsi" w:hAnsiTheme="minorHAnsi"/>
                <w:b/>
                <w:color w:val="000000" w:themeColor="text1"/>
                <w:sz w:val="24"/>
                <w:szCs w:val="19"/>
                <w:lang w:val="en-NZ" w:eastAsia="en-GB"/>
              </w:rPr>
            </w:pPr>
            <w:r w:rsidRPr="00120AEC">
              <w:rPr>
                <w:rFonts w:asciiTheme="minorHAnsi" w:hAnsiTheme="minorHAnsi"/>
                <w:b/>
                <w:color w:val="000000" w:themeColor="text1"/>
                <w:sz w:val="24"/>
                <w:szCs w:val="19"/>
                <w:lang w:val="en-NZ" w:eastAsia="en-GB"/>
              </w:rPr>
              <w:t>Lev</w:t>
            </w:r>
            <w:r w:rsidRPr="001008B2">
              <w:rPr>
                <w:rFonts w:asciiTheme="minorHAnsi" w:hAnsiTheme="minorHAnsi"/>
                <w:b/>
                <w:color w:val="000000" w:themeColor="text1"/>
                <w:sz w:val="24"/>
                <w:szCs w:val="19"/>
                <w:lang w:val="en-NZ" w:eastAsia="en-GB"/>
              </w:rPr>
              <w:t>els of Service</w:t>
            </w:r>
          </w:p>
        </w:tc>
      </w:tr>
      <w:tr w:rsidR="00050705" w:rsidRPr="00120AEC" w:rsidTr="00870931">
        <w:tc>
          <w:tcPr>
            <w:tcW w:w="1615" w:type="dxa"/>
          </w:tcPr>
          <w:p w:rsidR="00050705" w:rsidRPr="00120AEC" w:rsidRDefault="00050705" w:rsidP="00870931">
            <w:pPr>
              <w:keepLines/>
              <w:spacing w:before="120" w:line="240" w:lineRule="atLeast"/>
              <w:rPr>
                <w:rFonts w:asciiTheme="minorHAnsi" w:hAnsiTheme="minorHAnsi"/>
                <w:b/>
                <w:color w:val="000000" w:themeColor="text1"/>
                <w:sz w:val="24"/>
                <w:szCs w:val="19"/>
                <w:lang w:val="en-NZ"/>
              </w:rPr>
            </w:pPr>
            <w:r w:rsidRPr="00120AEC">
              <w:rPr>
                <w:rFonts w:asciiTheme="minorHAnsi" w:hAnsiTheme="minorHAnsi"/>
                <w:b/>
                <w:color w:val="000000" w:themeColor="text1"/>
                <w:sz w:val="24"/>
                <w:szCs w:val="19"/>
                <w:lang w:val="en-NZ"/>
              </w:rPr>
              <w:t>Scope</w:t>
            </w:r>
          </w:p>
        </w:tc>
        <w:tc>
          <w:tcPr>
            <w:tcW w:w="7514" w:type="dxa"/>
          </w:tcPr>
          <w:p w:rsidR="00050705" w:rsidRPr="00120AEC" w:rsidRDefault="00050705" w:rsidP="00870931">
            <w:pPr>
              <w:keepLines/>
              <w:spacing w:before="120" w:line="240" w:lineRule="atLeast"/>
              <w:rPr>
                <w:rFonts w:asciiTheme="minorHAnsi" w:hAnsiTheme="minorHAnsi"/>
                <w:color w:val="000000" w:themeColor="text1"/>
                <w:sz w:val="24"/>
                <w:szCs w:val="19"/>
                <w:lang w:val="en-NZ"/>
              </w:rPr>
            </w:pPr>
            <w:r>
              <w:rPr>
                <w:rFonts w:asciiTheme="minorHAnsi" w:hAnsiTheme="minorHAnsi"/>
                <w:color w:val="000000" w:themeColor="text1"/>
                <w:sz w:val="24"/>
                <w:szCs w:val="19"/>
                <w:lang w:val="en-NZ"/>
              </w:rPr>
              <w:t>Common measures of level of service</w:t>
            </w:r>
          </w:p>
        </w:tc>
      </w:tr>
      <w:tr w:rsidR="00050705" w:rsidRPr="00120AEC" w:rsidTr="00870931">
        <w:tc>
          <w:tcPr>
            <w:tcW w:w="1615" w:type="dxa"/>
          </w:tcPr>
          <w:p w:rsidR="00050705" w:rsidRPr="00120AEC" w:rsidRDefault="00050705" w:rsidP="00870931">
            <w:pPr>
              <w:keepLines/>
              <w:spacing w:before="120" w:line="240" w:lineRule="atLeast"/>
              <w:rPr>
                <w:rFonts w:asciiTheme="minorHAnsi" w:hAnsiTheme="minorHAnsi"/>
                <w:b/>
                <w:color w:val="000000" w:themeColor="text1"/>
                <w:sz w:val="24"/>
                <w:szCs w:val="19"/>
                <w:lang w:val="en-NZ"/>
              </w:rPr>
            </w:pPr>
            <w:r>
              <w:rPr>
                <w:rFonts w:asciiTheme="minorHAnsi" w:hAnsiTheme="minorHAnsi"/>
                <w:b/>
                <w:color w:val="000000" w:themeColor="text1"/>
                <w:sz w:val="24"/>
                <w:szCs w:val="19"/>
                <w:lang w:val="en-NZ"/>
              </w:rPr>
              <w:t>Actions</w:t>
            </w:r>
          </w:p>
        </w:tc>
        <w:tc>
          <w:tcPr>
            <w:tcW w:w="7514" w:type="dxa"/>
          </w:tcPr>
          <w:p w:rsidR="00050705" w:rsidRPr="00050705" w:rsidRDefault="00050705" w:rsidP="00870931">
            <w:pPr>
              <w:pStyle w:val="ListParagraph"/>
              <w:keepLines/>
              <w:numPr>
                <w:ilvl w:val="0"/>
                <w:numId w:val="18"/>
              </w:numPr>
              <w:spacing w:before="120" w:after="40" w:line="240" w:lineRule="atLeast"/>
              <w:ind w:left="540" w:hanging="425"/>
              <w:contextualSpacing w:val="0"/>
              <w:rPr>
                <w:rFonts w:asciiTheme="minorHAnsi" w:hAnsiTheme="minorHAnsi"/>
                <w:i/>
                <w:color w:val="000000" w:themeColor="text1"/>
                <w:sz w:val="24"/>
                <w:szCs w:val="19"/>
                <w:lang w:val="en-NZ"/>
              </w:rPr>
            </w:pPr>
            <w:r w:rsidRPr="00050705">
              <w:rPr>
                <w:rFonts w:asciiTheme="minorHAnsi" w:hAnsiTheme="minorHAnsi"/>
                <w:i/>
                <w:color w:val="000000" w:themeColor="text1"/>
                <w:sz w:val="24"/>
                <w:szCs w:val="19"/>
                <w:lang w:val="en-NZ"/>
              </w:rPr>
              <w:t xml:space="preserve">Develop common measures for levels of service.  Note target LOS may vary from organisation to organisation but measures should be standardised (Use </w:t>
            </w:r>
            <w:proofErr w:type="spellStart"/>
            <w:r w:rsidRPr="00050705">
              <w:rPr>
                <w:rFonts w:asciiTheme="minorHAnsi" w:hAnsiTheme="minorHAnsi"/>
                <w:i/>
                <w:color w:val="000000" w:themeColor="text1"/>
                <w:sz w:val="24"/>
                <w:szCs w:val="19"/>
                <w:lang w:val="en-NZ"/>
              </w:rPr>
              <w:t>WaterNZ</w:t>
            </w:r>
            <w:proofErr w:type="spellEnd"/>
            <w:r w:rsidRPr="00050705">
              <w:rPr>
                <w:rFonts w:asciiTheme="minorHAnsi" w:hAnsiTheme="minorHAnsi"/>
                <w:i/>
                <w:color w:val="000000" w:themeColor="text1"/>
                <w:sz w:val="24"/>
                <w:szCs w:val="19"/>
                <w:lang w:val="en-NZ"/>
              </w:rPr>
              <w:t xml:space="preserve"> benchmarking and DIA mandatory measures as a starting point)</w:t>
            </w:r>
          </w:p>
        </w:tc>
      </w:tr>
    </w:tbl>
    <w:p w:rsidR="00050705" w:rsidRDefault="00050705" w:rsidP="00050705">
      <w:pPr>
        <w:keepLines/>
        <w:spacing w:before="120" w:after="200" w:line="240" w:lineRule="atLeast"/>
        <w:rPr>
          <w:rFonts w:asciiTheme="minorHAnsi" w:hAnsiTheme="minorHAnsi"/>
          <w:color w:val="000000" w:themeColor="text1"/>
          <w:sz w:val="24"/>
          <w:szCs w:val="19"/>
          <w:lang w:val="en-NZ"/>
        </w:rPr>
      </w:pPr>
    </w:p>
    <w:tbl>
      <w:tblPr>
        <w:tblStyle w:val="TableGrid1"/>
        <w:tblW w:w="0" w:type="auto"/>
        <w:tblLook w:val="04A0" w:firstRow="1" w:lastRow="0" w:firstColumn="1" w:lastColumn="0" w:noHBand="0" w:noVBand="1"/>
      </w:tblPr>
      <w:tblGrid>
        <w:gridCol w:w="1615"/>
        <w:gridCol w:w="7514"/>
      </w:tblGrid>
      <w:tr w:rsidR="00050705" w:rsidRPr="00120AEC" w:rsidTr="00870931">
        <w:trPr>
          <w:cnfStyle w:val="100000000000" w:firstRow="1" w:lastRow="0" w:firstColumn="0" w:lastColumn="0" w:oddVBand="0" w:evenVBand="0" w:oddHBand="0" w:evenHBand="0" w:firstRowFirstColumn="0" w:firstRowLastColumn="0" w:lastRowFirstColumn="0" w:lastRowLastColumn="0"/>
        </w:trPr>
        <w:tc>
          <w:tcPr>
            <w:tcW w:w="1615" w:type="dxa"/>
          </w:tcPr>
          <w:p w:rsidR="00050705" w:rsidRPr="00120AEC" w:rsidRDefault="00050705" w:rsidP="00870931">
            <w:pPr>
              <w:keepLines/>
              <w:spacing w:before="120" w:line="240" w:lineRule="atLeast"/>
              <w:rPr>
                <w:rFonts w:asciiTheme="minorHAnsi" w:hAnsiTheme="minorHAnsi"/>
                <w:b/>
                <w:color w:val="000000" w:themeColor="text1"/>
                <w:sz w:val="24"/>
                <w:szCs w:val="19"/>
                <w:lang w:val="en-NZ"/>
              </w:rPr>
            </w:pPr>
            <w:r w:rsidRPr="00120AEC">
              <w:rPr>
                <w:rFonts w:asciiTheme="minorHAnsi" w:hAnsiTheme="minorHAnsi"/>
                <w:b/>
                <w:color w:val="000000" w:themeColor="text1"/>
                <w:sz w:val="24"/>
                <w:szCs w:val="19"/>
                <w:lang w:val="en-NZ"/>
              </w:rPr>
              <w:t>Theme</w:t>
            </w:r>
          </w:p>
        </w:tc>
        <w:tc>
          <w:tcPr>
            <w:tcW w:w="7514" w:type="dxa"/>
          </w:tcPr>
          <w:p w:rsidR="00050705" w:rsidRPr="00120AEC" w:rsidRDefault="00050705" w:rsidP="00870931">
            <w:pPr>
              <w:keepLines/>
              <w:spacing w:before="120" w:line="240" w:lineRule="atLeast"/>
              <w:rPr>
                <w:rFonts w:asciiTheme="minorHAnsi" w:hAnsiTheme="minorHAnsi"/>
                <w:b/>
                <w:color w:val="000000" w:themeColor="text1"/>
                <w:sz w:val="24"/>
                <w:szCs w:val="19"/>
                <w:lang w:val="en-NZ" w:eastAsia="en-GB"/>
              </w:rPr>
            </w:pPr>
            <w:r w:rsidRPr="001008B2">
              <w:rPr>
                <w:rFonts w:asciiTheme="minorHAnsi" w:hAnsiTheme="minorHAnsi"/>
                <w:b/>
                <w:color w:val="000000" w:themeColor="text1"/>
                <w:sz w:val="24"/>
                <w:szCs w:val="19"/>
                <w:lang w:val="en-NZ" w:eastAsia="en-GB"/>
              </w:rPr>
              <w:t>Risk &amp; Resilience</w:t>
            </w:r>
          </w:p>
        </w:tc>
      </w:tr>
      <w:tr w:rsidR="00050705" w:rsidRPr="00120AEC" w:rsidTr="00870931">
        <w:tc>
          <w:tcPr>
            <w:tcW w:w="1615" w:type="dxa"/>
          </w:tcPr>
          <w:p w:rsidR="00050705" w:rsidRPr="00120AEC" w:rsidRDefault="00050705" w:rsidP="00870931">
            <w:pPr>
              <w:keepLines/>
              <w:spacing w:before="120" w:line="240" w:lineRule="atLeast"/>
              <w:rPr>
                <w:rFonts w:asciiTheme="minorHAnsi" w:hAnsiTheme="minorHAnsi"/>
                <w:b/>
                <w:color w:val="000000" w:themeColor="text1"/>
                <w:sz w:val="24"/>
                <w:szCs w:val="19"/>
                <w:lang w:val="en-NZ"/>
              </w:rPr>
            </w:pPr>
            <w:r w:rsidRPr="00120AEC">
              <w:rPr>
                <w:rFonts w:asciiTheme="minorHAnsi" w:hAnsiTheme="minorHAnsi"/>
                <w:b/>
                <w:color w:val="000000" w:themeColor="text1"/>
                <w:sz w:val="24"/>
                <w:szCs w:val="19"/>
                <w:lang w:val="en-NZ"/>
              </w:rPr>
              <w:t>Scope</w:t>
            </w:r>
          </w:p>
        </w:tc>
        <w:tc>
          <w:tcPr>
            <w:tcW w:w="7514" w:type="dxa"/>
          </w:tcPr>
          <w:p w:rsidR="00050705" w:rsidRPr="00120AEC" w:rsidRDefault="00050705" w:rsidP="00870931">
            <w:pPr>
              <w:keepLines/>
              <w:spacing w:before="120" w:line="240" w:lineRule="atLeast"/>
              <w:rPr>
                <w:rFonts w:asciiTheme="minorHAnsi" w:hAnsiTheme="minorHAnsi"/>
                <w:color w:val="000000" w:themeColor="text1"/>
                <w:sz w:val="24"/>
                <w:szCs w:val="19"/>
                <w:lang w:val="en-NZ"/>
              </w:rPr>
            </w:pPr>
            <w:r>
              <w:rPr>
                <w:rFonts w:asciiTheme="minorHAnsi" w:hAnsiTheme="minorHAnsi"/>
                <w:color w:val="000000" w:themeColor="text1"/>
                <w:sz w:val="24"/>
                <w:szCs w:val="19"/>
                <w:lang w:val="en-NZ"/>
              </w:rPr>
              <w:t>Use</w:t>
            </w:r>
            <w:r w:rsidRPr="00120AEC">
              <w:rPr>
                <w:rFonts w:asciiTheme="minorHAnsi" w:hAnsiTheme="minorHAnsi"/>
                <w:color w:val="000000" w:themeColor="text1"/>
                <w:sz w:val="24"/>
                <w:szCs w:val="19"/>
                <w:lang w:val="en-NZ"/>
              </w:rPr>
              <w:t xml:space="preserve"> a common framework for assessing pipe criticality</w:t>
            </w:r>
          </w:p>
        </w:tc>
      </w:tr>
      <w:tr w:rsidR="00050705" w:rsidRPr="00120AEC" w:rsidTr="00870931">
        <w:tc>
          <w:tcPr>
            <w:tcW w:w="1615" w:type="dxa"/>
          </w:tcPr>
          <w:p w:rsidR="00050705" w:rsidRPr="00120AEC" w:rsidRDefault="00050705" w:rsidP="00870931">
            <w:pPr>
              <w:keepLines/>
              <w:spacing w:before="120" w:line="240" w:lineRule="atLeast"/>
              <w:rPr>
                <w:rFonts w:asciiTheme="minorHAnsi" w:hAnsiTheme="minorHAnsi"/>
                <w:b/>
                <w:color w:val="000000" w:themeColor="text1"/>
                <w:sz w:val="24"/>
                <w:szCs w:val="19"/>
                <w:lang w:val="en-NZ"/>
              </w:rPr>
            </w:pPr>
            <w:r>
              <w:rPr>
                <w:rFonts w:asciiTheme="minorHAnsi" w:hAnsiTheme="minorHAnsi"/>
                <w:b/>
                <w:color w:val="000000" w:themeColor="text1"/>
                <w:sz w:val="24"/>
                <w:szCs w:val="19"/>
                <w:lang w:val="en-NZ"/>
              </w:rPr>
              <w:t>Actions</w:t>
            </w:r>
          </w:p>
        </w:tc>
        <w:tc>
          <w:tcPr>
            <w:tcW w:w="7514" w:type="dxa"/>
          </w:tcPr>
          <w:p w:rsidR="00050705" w:rsidRPr="00120AEC" w:rsidRDefault="00050705" w:rsidP="00870931">
            <w:pPr>
              <w:pStyle w:val="ListParagraph"/>
              <w:keepLines/>
              <w:numPr>
                <w:ilvl w:val="0"/>
                <w:numId w:val="16"/>
              </w:numPr>
              <w:spacing w:before="120" w:after="40" w:line="240" w:lineRule="atLeast"/>
              <w:ind w:left="540" w:hanging="425"/>
              <w:contextualSpacing w:val="0"/>
              <w:rPr>
                <w:rFonts w:asciiTheme="minorHAnsi" w:hAnsiTheme="minorHAnsi"/>
                <w:color w:val="000000" w:themeColor="text1"/>
                <w:sz w:val="24"/>
                <w:szCs w:val="19"/>
                <w:lang w:val="en-NZ" w:eastAsia="en-GB"/>
              </w:rPr>
            </w:pPr>
            <w:r w:rsidRPr="007E5CF0">
              <w:rPr>
                <w:rFonts w:asciiTheme="minorHAnsi" w:hAnsiTheme="minorHAnsi"/>
                <w:i/>
                <w:color w:val="000000" w:themeColor="text1"/>
                <w:sz w:val="24"/>
                <w:szCs w:val="19"/>
                <w:lang w:val="en-NZ"/>
              </w:rPr>
              <w:t xml:space="preserve">Develop a </w:t>
            </w:r>
            <w:r w:rsidRPr="00120AEC">
              <w:rPr>
                <w:rFonts w:asciiTheme="minorHAnsi" w:hAnsiTheme="minorHAnsi"/>
                <w:i/>
                <w:color w:val="000000" w:themeColor="text1"/>
                <w:sz w:val="24"/>
                <w:szCs w:val="19"/>
                <w:lang w:val="en-NZ"/>
              </w:rPr>
              <w:t>common framework for assessing pipe criticality</w:t>
            </w:r>
            <w:r w:rsidRPr="00120AEC">
              <w:rPr>
                <w:rFonts w:asciiTheme="minorHAnsi" w:hAnsiTheme="minorHAnsi"/>
                <w:color w:val="000000" w:themeColor="text1"/>
                <w:sz w:val="24"/>
                <w:szCs w:val="19"/>
                <w:lang w:val="en-NZ"/>
              </w:rPr>
              <w:t xml:space="preserve"> </w:t>
            </w:r>
            <w:r>
              <w:rPr>
                <w:rFonts w:asciiTheme="minorHAnsi" w:hAnsiTheme="minorHAnsi"/>
                <w:color w:val="000000" w:themeColor="text1"/>
                <w:sz w:val="24"/>
                <w:szCs w:val="19"/>
                <w:lang w:val="en-NZ"/>
              </w:rPr>
              <w:t xml:space="preserve">i.e. </w:t>
            </w:r>
            <w:r w:rsidRPr="00BE6831">
              <w:rPr>
                <w:rFonts w:asciiTheme="minorHAnsi" w:hAnsiTheme="minorHAnsi"/>
                <w:i/>
                <w:color w:val="000000" w:themeColor="text1"/>
                <w:sz w:val="24"/>
                <w:szCs w:val="19"/>
                <w:lang w:val="en-NZ"/>
              </w:rPr>
              <w:t>Appl</w:t>
            </w:r>
            <w:r>
              <w:rPr>
                <w:rFonts w:asciiTheme="minorHAnsi" w:hAnsiTheme="minorHAnsi"/>
                <w:i/>
                <w:color w:val="000000" w:themeColor="text1"/>
                <w:sz w:val="24"/>
                <w:szCs w:val="19"/>
                <w:lang w:val="en-NZ"/>
              </w:rPr>
              <w:t>y</w:t>
            </w:r>
            <w:r w:rsidRPr="00BE6831">
              <w:rPr>
                <w:rFonts w:asciiTheme="minorHAnsi" w:hAnsiTheme="minorHAnsi"/>
                <w:i/>
                <w:color w:val="000000" w:themeColor="text1"/>
                <w:sz w:val="24"/>
                <w:szCs w:val="19"/>
                <w:lang w:val="en-NZ"/>
              </w:rPr>
              <w:t>ing</w:t>
            </w:r>
            <w:r w:rsidRPr="00120AEC">
              <w:rPr>
                <w:rFonts w:asciiTheme="minorHAnsi" w:hAnsiTheme="minorHAnsi"/>
                <w:i/>
                <w:color w:val="000000" w:themeColor="text1"/>
                <w:sz w:val="24"/>
                <w:szCs w:val="19"/>
                <w:lang w:val="en-NZ"/>
              </w:rPr>
              <w:t xml:space="preserve"> AS/NZS ISO 31000:2009 in the context o</w:t>
            </w:r>
            <w:r w:rsidRPr="00BE6831">
              <w:rPr>
                <w:rFonts w:asciiTheme="minorHAnsi" w:hAnsiTheme="minorHAnsi"/>
                <w:i/>
                <w:color w:val="000000" w:themeColor="text1"/>
                <w:sz w:val="24"/>
                <w:szCs w:val="19"/>
                <w:lang w:val="en-NZ"/>
              </w:rPr>
              <w:t>f 3 Waters at suitable scale</w:t>
            </w:r>
          </w:p>
        </w:tc>
      </w:tr>
      <w:tr w:rsidR="00050705" w:rsidRPr="00120AEC" w:rsidTr="00870931">
        <w:tc>
          <w:tcPr>
            <w:tcW w:w="1615" w:type="dxa"/>
          </w:tcPr>
          <w:p w:rsidR="00050705" w:rsidRDefault="00050705" w:rsidP="00870931">
            <w:pPr>
              <w:keepLines/>
              <w:spacing w:before="120" w:line="240" w:lineRule="atLeast"/>
              <w:rPr>
                <w:rFonts w:asciiTheme="minorHAnsi" w:hAnsiTheme="minorHAnsi"/>
                <w:b/>
                <w:color w:val="000000" w:themeColor="text1"/>
                <w:sz w:val="24"/>
                <w:szCs w:val="19"/>
                <w:lang w:val="en-NZ"/>
              </w:rPr>
            </w:pPr>
            <w:r>
              <w:rPr>
                <w:rFonts w:asciiTheme="minorHAnsi" w:hAnsiTheme="minorHAnsi"/>
                <w:b/>
                <w:color w:val="000000" w:themeColor="text1"/>
                <w:sz w:val="24"/>
                <w:szCs w:val="19"/>
                <w:lang w:val="en-NZ"/>
              </w:rPr>
              <w:t>Scope</w:t>
            </w:r>
          </w:p>
        </w:tc>
        <w:tc>
          <w:tcPr>
            <w:tcW w:w="7514" w:type="dxa"/>
          </w:tcPr>
          <w:p w:rsidR="00050705" w:rsidRPr="001008B2" w:rsidRDefault="00050705" w:rsidP="00870931">
            <w:pPr>
              <w:keepLines/>
              <w:spacing w:before="120" w:line="240" w:lineRule="atLeast"/>
              <w:ind w:left="0"/>
              <w:rPr>
                <w:rFonts w:asciiTheme="minorHAnsi" w:hAnsiTheme="minorHAnsi"/>
                <w:color w:val="000000" w:themeColor="text1"/>
                <w:sz w:val="24"/>
                <w:szCs w:val="19"/>
                <w:lang w:val="en-NZ"/>
              </w:rPr>
            </w:pPr>
            <w:r w:rsidRPr="001008B2">
              <w:rPr>
                <w:rFonts w:asciiTheme="minorHAnsi" w:hAnsiTheme="minorHAnsi"/>
                <w:color w:val="000000" w:themeColor="text1"/>
                <w:sz w:val="24"/>
                <w:szCs w:val="19"/>
                <w:lang w:val="en-NZ"/>
              </w:rPr>
              <w:t>Assess vulnerability to natural disasters and improve resilience</w:t>
            </w:r>
          </w:p>
        </w:tc>
      </w:tr>
      <w:tr w:rsidR="00050705" w:rsidRPr="00120AEC" w:rsidTr="00870931">
        <w:tc>
          <w:tcPr>
            <w:tcW w:w="1615" w:type="dxa"/>
          </w:tcPr>
          <w:p w:rsidR="00050705" w:rsidRDefault="00050705" w:rsidP="00870931">
            <w:pPr>
              <w:keepLines/>
              <w:spacing w:before="120" w:line="240" w:lineRule="atLeast"/>
              <w:rPr>
                <w:rFonts w:asciiTheme="minorHAnsi" w:hAnsiTheme="minorHAnsi"/>
                <w:b/>
                <w:color w:val="000000" w:themeColor="text1"/>
                <w:sz w:val="24"/>
                <w:szCs w:val="19"/>
                <w:lang w:val="en-NZ"/>
              </w:rPr>
            </w:pPr>
            <w:r>
              <w:rPr>
                <w:rFonts w:asciiTheme="minorHAnsi" w:hAnsiTheme="minorHAnsi"/>
                <w:b/>
                <w:color w:val="000000" w:themeColor="text1"/>
                <w:sz w:val="24"/>
                <w:szCs w:val="19"/>
                <w:lang w:val="en-NZ"/>
              </w:rPr>
              <w:t>Actions</w:t>
            </w:r>
          </w:p>
        </w:tc>
        <w:tc>
          <w:tcPr>
            <w:tcW w:w="7514" w:type="dxa"/>
          </w:tcPr>
          <w:p w:rsidR="00050705" w:rsidRDefault="00050705" w:rsidP="00870931">
            <w:pPr>
              <w:pStyle w:val="ListParagraph"/>
              <w:keepLines/>
              <w:numPr>
                <w:ilvl w:val="0"/>
                <w:numId w:val="17"/>
              </w:numPr>
              <w:spacing w:before="120" w:after="40" w:line="240" w:lineRule="atLeast"/>
              <w:ind w:left="540" w:hanging="425"/>
              <w:contextualSpacing w:val="0"/>
              <w:rPr>
                <w:rFonts w:asciiTheme="minorHAnsi" w:hAnsiTheme="minorHAnsi"/>
                <w:i/>
                <w:color w:val="000000" w:themeColor="text1"/>
                <w:sz w:val="24"/>
                <w:szCs w:val="19"/>
                <w:lang w:val="en-NZ"/>
              </w:rPr>
            </w:pPr>
            <w:r>
              <w:rPr>
                <w:rFonts w:asciiTheme="minorHAnsi" w:hAnsiTheme="minorHAnsi"/>
                <w:i/>
                <w:color w:val="000000" w:themeColor="text1"/>
                <w:sz w:val="24"/>
                <w:szCs w:val="19"/>
                <w:lang w:val="en-NZ"/>
              </w:rPr>
              <w:t>Develop guidelines for assessing vulnerability and improving resilience of buried utilities to seismic events (already underway MBIE/Opus).</w:t>
            </w:r>
          </w:p>
          <w:p w:rsidR="00050705" w:rsidRPr="00BE6831" w:rsidRDefault="00050705" w:rsidP="00870931">
            <w:pPr>
              <w:pStyle w:val="ListParagraph"/>
              <w:keepLines/>
              <w:numPr>
                <w:ilvl w:val="0"/>
                <w:numId w:val="17"/>
              </w:numPr>
              <w:spacing w:before="120" w:after="40" w:line="240" w:lineRule="atLeast"/>
              <w:ind w:left="540" w:hanging="425"/>
              <w:contextualSpacing w:val="0"/>
              <w:rPr>
                <w:rFonts w:asciiTheme="minorHAnsi" w:hAnsiTheme="minorHAnsi"/>
                <w:i/>
                <w:color w:val="000000" w:themeColor="text1"/>
                <w:sz w:val="24"/>
                <w:szCs w:val="19"/>
                <w:lang w:val="en-NZ"/>
              </w:rPr>
            </w:pPr>
            <w:r>
              <w:rPr>
                <w:rFonts w:asciiTheme="minorHAnsi" w:hAnsiTheme="minorHAnsi"/>
                <w:i/>
                <w:color w:val="000000" w:themeColor="text1"/>
                <w:sz w:val="24"/>
                <w:szCs w:val="19"/>
                <w:lang w:val="en-NZ"/>
              </w:rPr>
              <w:t>Develop guidelines for assessing vulnerability and improving resilience of pipelines to other natural disasters.</w:t>
            </w:r>
          </w:p>
        </w:tc>
      </w:tr>
    </w:tbl>
    <w:p w:rsidR="00050705" w:rsidRDefault="00050705" w:rsidP="00050705"/>
    <w:tbl>
      <w:tblPr>
        <w:tblStyle w:val="TableGrid1"/>
        <w:tblW w:w="0" w:type="auto"/>
        <w:tblLook w:val="04A0" w:firstRow="1" w:lastRow="0" w:firstColumn="1" w:lastColumn="0" w:noHBand="0" w:noVBand="1"/>
      </w:tblPr>
      <w:tblGrid>
        <w:gridCol w:w="1615"/>
        <w:gridCol w:w="7514"/>
      </w:tblGrid>
      <w:tr w:rsidR="00050705" w:rsidRPr="00120AEC" w:rsidTr="00870931">
        <w:trPr>
          <w:cnfStyle w:val="100000000000" w:firstRow="1" w:lastRow="0" w:firstColumn="0" w:lastColumn="0" w:oddVBand="0" w:evenVBand="0" w:oddHBand="0" w:evenHBand="0" w:firstRowFirstColumn="0" w:firstRowLastColumn="0" w:lastRowFirstColumn="0" w:lastRowLastColumn="0"/>
        </w:trPr>
        <w:tc>
          <w:tcPr>
            <w:tcW w:w="1615" w:type="dxa"/>
          </w:tcPr>
          <w:p w:rsidR="00050705" w:rsidRPr="00120AEC" w:rsidRDefault="00050705" w:rsidP="00870931">
            <w:pPr>
              <w:keepLines/>
              <w:spacing w:before="120" w:line="240" w:lineRule="atLeast"/>
              <w:rPr>
                <w:rFonts w:asciiTheme="minorHAnsi" w:hAnsiTheme="minorHAnsi"/>
                <w:b/>
                <w:color w:val="000000" w:themeColor="text1"/>
                <w:sz w:val="24"/>
                <w:szCs w:val="19"/>
                <w:lang w:val="en-NZ"/>
              </w:rPr>
            </w:pPr>
            <w:r w:rsidRPr="00120AEC">
              <w:rPr>
                <w:rFonts w:asciiTheme="minorHAnsi" w:hAnsiTheme="minorHAnsi"/>
                <w:b/>
                <w:color w:val="000000" w:themeColor="text1"/>
                <w:sz w:val="24"/>
                <w:szCs w:val="19"/>
                <w:lang w:val="en-NZ"/>
              </w:rPr>
              <w:t>Theme</w:t>
            </w:r>
          </w:p>
        </w:tc>
        <w:tc>
          <w:tcPr>
            <w:tcW w:w="7514" w:type="dxa"/>
          </w:tcPr>
          <w:p w:rsidR="00050705" w:rsidRPr="00120AEC" w:rsidRDefault="00050705" w:rsidP="00870931">
            <w:pPr>
              <w:keepLines/>
              <w:spacing w:before="120" w:line="240" w:lineRule="atLeast"/>
              <w:rPr>
                <w:rFonts w:asciiTheme="minorHAnsi" w:hAnsiTheme="minorHAnsi"/>
                <w:b/>
                <w:color w:val="000000" w:themeColor="text1"/>
                <w:sz w:val="24"/>
                <w:szCs w:val="19"/>
                <w:lang w:val="en-NZ"/>
              </w:rPr>
            </w:pPr>
            <w:r w:rsidRPr="00120AEC">
              <w:rPr>
                <w:rFonts w:asciiTheme="minorHAnsi" w:hAnsiTheme="minorHAnsi"/>
                <w:b/>
                <w:color w:val="000000" w:themeColor="text1"/>
                <w:sz w:val="24"/>
                <w:szCs w:val="19"/>
                <w:lang w:val="en-NZ"/>
              </w:rPr>
              <w:t>Capacity and Growth</w:t>
            </w:r>
          </w:p>
        </w:tc>
      </w:tr>
      <w:tr w:rsidR="00050705" w:rsidRPr="00120AEC" w:rsidTr="00870931">
        <w:tc>
          <w:tcPr>
            <w:tcW w:w="1615" w:type="dxa"/>
          </w:tcPr>
          <w:p w:rsidR="00050705" w:rsidRPr="00120AEC" w:rsidRDefault="00050705" w:rsidP="00870931">
            <w:pPr>
              <w:keepLines/>
              <w:spacing w:before="120" w:line="240" w:lineRule="atLeast"/>
              <w:rPr>
                <w:rFonts w:asciiTheme="minorHAnsi" w:hAnsiTheme="minorHAnsi"/>
                <w:b/>
                <w:color w:val="000000" w:themeColor="text1"/>
                <w:sz w:val="24"/>
                <w:szCs w:val="19"/>
                <w:lang w:val="en-NZ"/>
              </w:rPr>
            </w:pPr>
            <w:r>
              <w:rPr>
                <w:rFonts w:asciiTheme="minorHAnsi" w:hAnsiTheme="minorHAnsi"/>
                <w:b/>
                <w:color w:val="000000" w:themeColor="text1"/>
                <w:sz w:val="24"/>
                <w:szCs w:val="19"/>
                <w:lang w:val="en-NZ"/>
              </w:rPr>
              <w:t>Scope</w:t>
            </w:r>
          </w:p>
        </w:tc>
        <w:tc>
          <w:tcPr>
            <w:tcW w:w="7514" w:type="dxa"/>
          </w:tcPr>
          <w:p w:rsidR="00050705" w:rsidRPr="00120AEC" w:rsidRDefault="00050705" w:rsidP="00870931">
            <w:pPr>
              <w:keepLines/>
              <w:spacing w:before="120" w:line="240" w:lineRule="atLeast"/>
              <w:rPr>
                <w:rFonts w:asciiTheme="minorHAnsi" w:hAnsiTheme="minorHAnsi"/>
                <w:color w:val="000000" w:themeColor="text1"/>
                <w:sz w:val="24"/>
                <w:szCs w:val="19"/>
                <w:lang w:val="en-NZ"/>
              </w:rPr>
            </w:pPr>
            <w:r>
              <w:rPr>
                <w:rFonts w:asciiTheme="minorHAnsi" w:hAnsiTheme="minorHAnsi"/>
                <w:color w:val="000000" w:themeColor="text1"/>
                <w:sz w:val="24"/>
                <w:szCs w:val="19"/>
                <w:lang w:val="en-NZ"/>
              </w:rPr>
              <w:t>Coordinate deterioration related renewal with works to improve capacity and delay with growth</w:t>
            </w:r>
          </w:p>
        </w:tc>
      </w:tr>
      <w:tr w:rsidR="00050705" w:rsidRPr="00120AEC" w:rsidTr="00870931">
        <w:tc>
          <w:tcPr>
            <w:tcW w:w="1615" w:type="dxa"/>
          </w:tcPr>
          <w:p w:rsidR="00050705" w:rsidRPr="00120AEC" w:rsidRDefault="00050705" w:rsidP="00870931">
            <w:pPr>
              <w:keepLines/>
              <w:spacing w:before="120" w:line="240" w:lineRule="atLeast"/>
              <w:rPr>
                <w:rFonts w:asciiTheme="minorHAnsi" w:hAnsiTheme="minorHAnsi"/>
                <w:b/>
                <w:color w:val="000000" w:themeColor="text1"/>
                <w:sz w:val="24"/>
                <w:szCs w:val="19"/>
                <w:lang w:val="en-NZ"/>
              </w:rPr>
            </w:pPr>
            <w:r w:rsidRPr="00120AEC">
              <w:rPr>
                <w:rFonts w:asciiTheme="minorHAnsi" w:hAnsiTheme="minorHAnsi"/>
                <w:b/>
                <w:color w:val="000000" w:themeColor="text1"/>
                <w:sz w:val="24"/>
                <w:szCs w:val="19"/>
                <w:lang w:val="en-NZ"/>
              </w:rPr>
              <w:t>Scope</w:t>
            </w:r>
          </w:p>
        </w:tc>
        <w:tc>
          <w:tcPr>
            <w:tcW w:w="7514" w:type="dxa"/>
          </w:tcPr>
          <w:p w:rsidR="00050705" w:rsidRDefault="00050705" w:rsidP="00870931">
            <w:pPr>
              <w:pStyle w:val="ListParagraph"/>
              <w:keepLines/>
              <w:numPr>
                <w:ilvl w:val="0"/>
                <w:numId w:val="20"/>
              </w:numPr>
              <w:spacing w:before="120" w:after="40" w:line="240" w:lineRule="atLeast"/>
              <w:ind w:left="540" w:hanging="425"/>
              <w:contextualSpacing w:val="0"/>
              <w:rPr>
                <w:rFonts w:asciiTheme="minorHAnsi" w:hAnsiTheme="minorHAnsi"/>
                <w:i/>
                <w:color w:val="000000" w:themeColor="text1"/>
                <w:sz w:val="24"/>
                <w:szCs w:val="19"/>
                <w:lang w:val="en-NZ"/>
              </w:rPr>
            </w:pPr>
            <w:r>
              <w:rPr>
                <w:rFonts w:asciiTheme="minorHAnsi" w:hAnsiTheme="minorHAnsi"/>
                <w:i/>
                <w:color w:val="000000" w:themeColor="text1"/>
                <w:sz w:val="24"/>
                <w:szCs w:val="19"/>
                <w:lang w:val="en-NZ"/>
              </w:rPr>
              <w:t xml:space="preserve">Develop guidelines that help organisation address the following when undertaking renewal planning </w:t>
            </w:r>
          </w:p>
          <w:p w:rsidR="00050705" w:rsidRPr="00A25829" w:rsidRDefault="00050705" w:rsidP="00870931">
            <w:pPr>
              <w:pStyle w:val="ListBullet"/>
              <w:keepLines w:val="0"/>
              <w:tabs>
                <w:tab w:val="clear" w:pos="567"/>
                <w:tab w:val="num" w:pos="1107"/>
              </w:tabs>
              <w:spacing w:before="40" w:after="220" w:line="264" w:lineRule="auto"/>
              <w:ind w:left="1107" w:hanging="567"/>
              <w:rPr>
                <w:i/>
                <w:lang w:eastAsia="en-NZ"/>
              </w:rPr>
            </w:pPr>
            <w:r w:rsidRPr="00A25829">
              <w:rPr>
                <w:i/>
                <w:lang w:eastAsia="en-NZ"/>
              </w:rPr>
              <w:t>Current pipe utilisation</w:t>
            </w:r>
          </w:p>
          <w:p w:rsidR="00050705" w:rsidRPr="00120AEC" w:rsidRDefault="00050705" w:rsidP="00870931">
            <w:pPr>
              <w:pStyle w:val="ListBullet"/>
              <w:keepLines w:val="0"/>
              <w:tabs>
                <w:tab w:val="clear" w:pos="567"/>
                <w:tab w:val="num" w:pos="1107"/>
              </w:tabs>
              <w:spacing w:before="40" w:after="220" w:line="264" w:lineRule="auto"/>
              <w:ind w:left="1107" w:hanging="567"/>
              <w:rPr>
                <w:i/>
                <w:lang w:eastAsia="en-NZ"/>
              </w:rPr>
            </w:pPr>
            <w:r w:rsidRPr="00120AEC">
              <w:rPr>
                <w:i/>
                <w:lang w:eastAsia="en-NZ"/>
              </w:rPr>
              <w:t>Spatial planning</w:t>
            </w:r>
          </w:p>
          <w:p w:rsidR="00050705" w:rsidRPr="00120AEC" w:rsidRDefault="00050705" w:rsidP="00870931">
            <w:pPr>
              <w:pStyle w:val="ListBullet"/>
              <w:keepLines w:val="0"/>
              <w:tabs>
                <w:tab w:val="clear" w:pos="567"/>
                <w:tab w:val="num" w:pos="1107"/>
              </w:tabs>
              <w:spacing w:before="40" w:after="220" w:line="264" w:lineRule="auto"/>
              <w:ind w:left="1107" w:hanging="567"/>
              <w:rPr>
                <w:i/>
                <w:lang w:eastAsia="en-NZ"/>
              </w:rPr>
            </w:pPr>
            <w:r w:rsidRPr="00120AEC">
              <w:rPr>
                <w:i/>
                <w:lang w:eastAsia="en-NZ"/>
              </w:rPr>
              <w:t>Interdependencies and coordination with other utilities</w:t>
            </w:r>
          </w:p>
          <w:p w:rsidR="00050705" w:rsidRPr="00120AEC" w:rsidRDefault="00050705" w:rsidP="00870931">
            <w:pPr>
              <w:pStyle w:val="ListBullet"/>
              <w:keepLines w:val="0"/>
              <w:tabs>
                <w:tab w:val="clear" w:pos="567"/>
                <w:tab w:val="num" w:pos="1107"/>
              </w:tabs>
              <w:spacing w:before="40" w:after="220" w:line="264" w:lineRule="auto"/>
              <w:ind w:left="1107" w:hanging="567"/>
              <w:rPr>
                <w:i/>
                <w:lang w:eastAsia="en-NZ"/>
              </w:rPr>
            </w:pPr>
            <w:r w:rsidRPr="00120AEC">
              <w:rPr>
                <w:i/>
                <w:lang w:eastAsia="en-NZ"/>
              </w:rPr>
              <w:t>Environmental standards</w:t>
            </w:r>
          </w:p>
          <w:p w:rsidR="00050705" w:rsidRPr="00120AEC" w:rsidRDefault="00050705" w:rsidP="00870931">
            <w:pPr>
              <w:pStyle w:val="ListBullet"/>
              <w:keepLines w:val="0"/>
              <w:tabs>
                <w:tab w:val="clear" w:pos="567"/>
                <w:tab w:val="num" w:pos="1107"/>
              </w:tabs>
              <w:spacing w:before="40" w:after="220" w:line="264" w:lineRule="auto"/>
              <w:ind w:left="1107" w:hanging="567"/>
              <w:rPr>
                <w:i/>
                <w:lang w:eastAsia="en-NZ"/>
              </w:rPr>
            </w:pPr>
            <w:r w:rsidRPr="00120AEC">
              <w:rPr>
                <w:i/>
                <w:lang w:eastAsia="en-NZ"/>
              </w:rPr>
              <w:t>Understanding the ownership implications of laterals and inherited systems</w:t>
            </w:r>
          </w:p>
          <w:p w:rsidR="00050705" w:rsidRPr="00120AEC" w:rsidRDefault="00050705" w:rsidP="00870931">
            <w:pPr>
              <w:pStyle w:val="ListBullet"/>
              <w:keepLines w:val="0"/>
              <w:tabs>
                <w:tab w:val="clear" w:pos="567"/>
                <w:tab w:val="num" w:pos="1107"/>
              </w:tabs>
              <w:spacing w:before="40" w:after="220" w:line="264" w:lineRule="auto"/>
              <w:ind w:left="1107" w:hanging="567"/>
              <w:rPr>
                <w:color w:val="000000" w:themeColor="text1"/>
                <w:szCs w:val="19"/>
                <w:lang w:eastAsia="en-NZ"/>
              </w:rPr>
            </w:pPr>
            <w:r w:rsidRPr="00120AEC">
              <w:rPr>
                <w:i/>
                <w:lang w:eastAsia="en-NZ"/>
              </w:rPr>
              <w:t>Impacts of negative growth</w:t>
            </w:r>
          </w:p>
        </w:tc>
      </w:tr>
    </w:tbl>
    <w:p w:rsidR="00050705" w:rsidRDefault="00050705" w:rsidP="00050705"/>
    <w:p w:rsidR="00050705" w:rsidRDefault="00050705" w:rsidP="00050705"/>
    <w:tbl>
      <w:tblPr>
        <w:tblStyle w:val="TableGrid1"/>
        <w:tblW w:w="0" w:type="auto"/>
        <w:tblLook w:val="04A0" w:firstRow="1" w:lastRow="0" w:firstColumn="1" w:lastColumn="0" w:noHBand="0" w:noVBand="1"/>
      </w:tblPr>
      <w:tblGrid>
        <w:gridCol w:w="1615"/>
        <w:gridCol w:w="7514"/>
      </w:tblGrid>
      <w:tr w:rsidR="00050705" w:rsidRPr="00120AEC" w:rsidTr="00870931">
        <w:trPr>
          <w:cnfStyle w:val="100000000000" w:firstRow="1" w:lastRow="0" w:firstColumn="0" w:lastColumn="0" w:oddVBand="0" w:evenVBand="0" w:oddHBand="0" w:evenHBand="0" w:firstRowFirstColumn="0" w:firstRowLastColumn="0" w:lastRowFirstColumn="0" w:lastRowLastColumn="0"/>
        </w:trPr>
        <w:tc>
          <w:tcPr>
            <w:tcW w:w="1615" w:type="dxa"/>
          </w:tcPr>
          <w:p w:rsidR="00050705" w:rsidRPr="00120AEC" w:rsidRDefault="00050705" w:rsidP="00870931">
            <w:pPr>
              <w:keepLines/>
              <w:spacing w:before="120" w:line="240" w:lineRule="atLeast"/>
              <w:rPr>
                <w:rFonts w:asciiTheme="minorHAnsi" w:hAnsiTheme="minorHAnsi"/>
                <w:b/>
                <w:color w:val="000000" w:themeColor="text1"/>
                <w:sz w:val="24"/>
                <w:szCs w:val="19"/>
                <w:lang w:val="en-NZ"/>
              </w:rPr>
            </w:pPr>
            <w:r w:rsidRPr="00120AEC">
              <w:rPr>
                <w:rFonts w:asciiTheme="minorHAnsi" w:hAnsiTheme="minorHAnsi"/>
                <w:b/>
                <w:color w:val="000000" w:themeColor="text1"/>
                <w:sz w:val="24"/>
                <w:szCs w:val="19"/>
                <w:lang w:val="en-NZ"/>
              </w:rPr>
              <w:lastRenderedPageBreak/>
              <w:t>Theme</w:t>
            </w:r>
          </w:p>
        </w:tc>
        <w:tc>
          <w:tcPr>
            <w:tcW w:w="7514" w:type="dxa"/>
          </w:tcPr>
          <w:p w:rsidR="00050705" w:rsidRPr="00120AEC" w:rsidRDefault="00050705" w:rsidP="00870931">
            <w:pPr>
              <w:keepLines/>
              <w:spacing w:before="120" w:line="240" w:lineRule="atLeast"/>
              <w:rPr>
                <w:rFonts w:asciiTheme="minorHAnsi" w:hAnsiTheme="minorHAnsi"/>
                <w:b/>
                <w:color w:val="000000" w:themeColor="text1"/>
                <w:sz w:val="24"/>
                <w:szCs w:val="19"/>
                <w:lang w:val="en-NZ"/>
              </w:rPr>
            </w:pPr>
            <w:r w:rsidRPr="001008B2">
              <w:rPr>
                <w:rFonts w:asciiTheme="minorHAnsi" w:hAnsiTheme="minorHAnsi"/>
                <w:b/>
                <w:color w:val="000000" w:themeColor="text1"/>
                <w:sz w:val="24"/>
                <w:szCs w:val="19"/>
                <w:lang w:val="en-NZ"/>
              </w:rPr>
              <w:t>Life-C</w:t>
            </w:r>
            <w:r w:rsidRPr="00120AEC">
              <w:rPr>
                <w:rFonts w:asciiTheme="minorHAnsi" w:hAnsiTheme="minorHAnsi"/>
                <w:b/>
                <w:color w:val="000000" w:themeColor="text1"/>
                <w:sz w:val="24"/>
                <w:szCs w:val="19"/>
                <w:lang w:val="en-NZ"/>
              </w:rPr>
              <w:t>ycle Cost</w:t>
            </w:r>
            <w:r w:rsidRPr="001008B2">
              <w:rPr>
                <w:rFonts w:asciiTheme="minorHAnsi" w:hAnsiTheme="minorHAnsi"/>
                <w:b/>
                <w:color w:val="000000" w:themeColor="text1"/>
                <w:sz w:val="24"/>
                <w:szCs w:val="19"/>
                <w:lang w:val="en-NZ"/>
              </w:rPr>
              <w:t>s</w:t>
            </w:r>
          </w:p>
        </w:tc>
      </w:tr>
      <w:tr w:rsidR="00050705" w:rsidRPr="00120AEC" w:rsidTr="00870931">
        <w:tc>
          <w:tcPr>
            <w:tcW w:w="1615" w:type="dxa"/>
          </w:tcPr>
          <w:p w:rsidR="00050705" w:rsidRPr="00120AEC" w:rsidRDefault="00050705" w:rsidP="00870931">
            <w:pPr>
              <w:keepLines/>
              <w:spacing w:before="120" w:line="240" w:lineRule="atLeast"/>
              <w:rPr>
                <w:rFonts w:asciiTheme="minorHAnsi" w:hAnsiTheme="minorHAnsi"/>
                <w:b/>
                <w:color w:val="000000" w:themeColor="text1"/>
                <w:sz w:val="24"/>
                <w:szCs w:val="19"/>
                <w:lang w:val="en-NZ"/>
              </w:rPr>
            </w:pPr>
            <w:r>
              <w:rPr>
                <w:rFonts w:asciiTheme="minorHAnsi" w:hAnsiTheme="minorHAnsi"/>
                <w:b/>
                <w:color w:val="000000" w:themeColor="text1"/>
                <w:sz w:val="24"/>
                <w:szCs w:val="19"/>
                <w:lang w:val="en-NZ"/>
              </w:rPr>
              <w:t>Scope</w:t>
            </w:r>
          </w:p>
        </w:tc>
        <w:tc>
          <w:tcPr>
            <w:tcW w:w="7514" w:type="dxa"/>
          </w:tcPr>
          <w:p w:rsidR="00050705" w:rsidRPr="00120AEC" w:rsidRDefault="00050705" w:rsidP="00870931">
            <w:pPr>
              <w:keepLines/>
              <w:spacing w:before="120" w:line="240" w:lineRule="atLeast"/>
              <w:rPr>
                <w:rFonts w:asciiTheme="minorHAnsi" w:hAnsiTheme="minorHAnsi"/>
                <w:color w:val="000000" w:themeColor="text1"/>
                <w:sz w:val="24"/>
                <w:szCs w:val="19"/>
                <w:lang w:val="en-NZ"/>
              </w:rPr>
            </w:pPr>
            <w:r>
              <w:rPr>
                <w:rFonts w:asciiTheme="minorHAnsi" w:hAnsiTheme="minorHAnsi"/>
                <w:color w:val="000000" w:themeColor="text1"/>
                <w:sz w:val="24"/>
                <w:szCs w:val="19"/>
                <w:lang w:val="en-NZ"/>
              </w:rPr>
              <w:t>Develop Whole of Life Costing Models</w:t>
            </w:r>
          </w:p>
        </w:tc>
      </w:tr>
      <w:tr w:rsidR="00050705" w:rsidRPr="00120AEC" w:rsidTr="00870931">
        <w:tc>
          <w:tcPr>
            <w:tcW w:w="1615" w:type="dxa"/>
          </w:tcPr>
          <w:p w:rsidR="00050705" w:rsidRPr="00120AEC" w:rsidRDefault="00050705" w:rsidP="00870931">
            <w:pPr>
              <w:keepLines/>
              <w:spacing w:before="120" w:line="240" w:lineRule="atLeast"/>
              <w:rPr>
                <w:rFonts w:asciiTheme="minorHAnsi" w:hAnsiTheme="minorHAnsi"/>
                <w:b/>
                <w:color w:val="000000" w:themeColor="text1"/>
                <w:sz w:val="24"/>
                <w:szCs w:val="19"/>
                <w:lang w:val="en-NZ"/>
              </w:rPr>
            </w:pPr>
            <w:r>
              <w:rPr>
                <w:rFonts w:asciiTheme="minorHAnsi" w:hAnsiTheme="minorHAnsi"/>
                <w:b/>
                <w:color w:val="000000" w:themeColor="text1"/>
                <w:sz w:val="24"/>
                <w:szCs w:val="19"/>
                <w:lang w:val="en-NZ"/>
              </w:rPr>
              <w:t>Actions</w:t>
            </w:r>
          </w:p>
        </w:tc>
        <w:tc>
          <w:tcPr>
            <w:tcW w:w="7514" w:type="dxa"/>
          </w:tcPr>
          <w:p w:rsidR="00050705" w:rsidRPr="00A25829" w:rsidRDefault="00050705" w:rsidP="00870931">
            <w:pPr>
              <w:pStyle w:val="ListParagraph"/>
              <w:keepLines/>
              <w:numPr>
                <w:ilvl w:val="0"/>
                <w:numId w:val="19"/>
              </w:numPr>
              <w:spacing w:before="120" w:after="40" w:line="240" w:lineRule="atLeast"/>
              <w:ind w:left="540" w:hanging="425"/>
              <w:contextualSpacing w:val="0"/>
              <w:rPr>
                <w:rFonts w:asciiTheme="minorHAnsi" w:hAnsiTheme="minorHAnsi"/>
                <w:i/>
                <w:color w:val="000000" w:themeColor="text1"/>
                <w:sz w:val="24"/>
                <w:szCs w:val="19"/>
                <w:lang w:val="en-NZ"/>
              </w:rPr>
            </w:pPr>
            <w:r w:rsidRPr="00A25829">
              <w:rPr>
                <w:rFonts w:asciiTheme="minorHAnsi" w:hAnsiTheme="minorHAnsi"/>
                <w:i/>
                <w:color w:val="000000" w:themeColor="text1"/>
                <w:sz w:val="24"/>
                <w:szCs w:val="19"/>
                <w:lang w:val="en-NZ"/>
              </w:rPr>
              <w:t>Establish common data base of costs for asset creation, repair, rehabilitation and renewal (provide a common basis of costing but allow for regional differences)</w:t>
            </w:r>
          </w:p>
          <w:p w:rsidR="00050705" w:rsidRPr="00A25829" w:rsidRDefault="00050705" w:rsidP="00870931">
            <w:pPr>
              <w:pStyle w:val="ListParagraph"/>
              <w:keepLines/>
              <w:numPr>
                <w:ilvl w:val="0"/>
                <w:numId w:val="19"/>
              </w:numPr>
              <w:spacing w:before="120" w:after="40" w:line="240" w:lineRule="atLeast"/>
              <w:ind w:left="540" w:hanging="425"/>
              <w:contextualSpacing w:val="0"/>
              <w:rPr>
                <w:rFonts w:asciiTheme="minorHAnsi" w:hAnsiTheme="minorHAnsi"/>
                <w:color w:val="000000" w:themeColor="text1"/>
                <w:sz w:val="24"/>
                <w:szCs w:val="19"/>
                <w:lang w:val="en-NZ"/>
              </w:rPr>
            </w:pPr>
            <w:r w:rsidRPr="00A25829">
              <w:rPr>
                <w:rFonts w:asciiTheme="minorHAnsi" w:hAnsiTheme="minorHAnsi"/>
                <w:i/>
                <w:color w:val="000000" w:themeColor="text1"/>
                <w:sz w:val="24"/>
                <w:szCs w:val="19"/>
                <w:lang w:val="en-NZ"/>
              </w:rPr>
              <w:t>Generate expected cost curves by linking cost information with deterioration and other useful life predictions to develop cost curves (</w:t>
            </w:r>
            <w:r w:rsidRPr="00120AEC">
              <w:rPr>
                <w:rFonts w:asciiTheme="minorHAnsi" w:hAnsiTheme="minorHAnsi"/>
                <w:i/>
                <w:color w:val="000000" w:themeColor="text1"/>
                <w:sz w:val="24"/>
                <w:szCs w:val="19"/>
                <w:lang w:val="en-NZ"/>
              </w:rPr>
              <w:t>Development of repair and maintenance versus time and asset deterioration curves</w:t>
            </w:r>
            <w:r w:rsidRPr="00A25829">
              <w:rPr>
                <w:rFonts w:asciiTheme="minorHAnsi" w:hAnsiTheme="minorHAnsi"/>
                <w:i/>
                <w:color w:val="000000" w:themeColor="text1"/>
                <w:sz w:val="24"/>
                <w:szCs w:val="19"/>
                <w:lang w:val="en-NZ"/>
              </w:rPr>
              <w:t>)</w:t>
            </w:r>
          </w:p>
        </w:tc>
      </w:tr>
    </w:tbl>
    <w:p w:rsidR="00050705" w:rsidRDefault="00050705" w:rsidP="00050705"/>
    <w:tbl>
      <w:tblPr>
        <w:tblStyle w:val="TableGrid1"/>
        <w:tblW w:w="0" w:type="auto"/>
        <w:tblLook w:val="04A0" w:firstRow="1" w:lastRow="0" w:firstColumn="1" w:lastColumn="0" w:noHBand="0" w:noVBand="1"/>
      </w:tblPr>
      <w:tblGrid>
        <w:gridCol w:w="1615"/>
        <w:gridCol w:w="7514"/>
      </w:tblGrid>
      <w:tr w:rsidR="00050705" w:rsidRPr="00120AEC" w:rsidTr="00870931">
        <w:trPr>
          <w:cnfStyle w:val="100000000000" w:firstRow="1" w:lastRow="0" w:firstColumn="0" w:lastColumn="0" w:oddVBand="0" w:evenVBand="0" w:oddHBand="0" w:evenHBand="0" w:firstRowFirstColumn="0" w:firstRowLastColumn="0" w:lastRowFirstColumn="0" w:lastRowLastColumn="0"/>
        </w:trPr>
        <w:tc>
          <w:tcPr>
            <w:tcW w:w="1615" w:type="dxa"/>
          </w:tcPr>
          <w:p w:rsidR="00050705" w:rsidRPr="00120AEC" w:rsidRDefault="00050705" w:rsidP="00870931">
            <w:pPr>
              <w:keepLines/>
              <w:spacing w:before="120" w:line="240" w:lineRule="atLeast"/>
              <w:rPr>
                <w:rFonts w:asciiTheme="minorHAnsi" w:hAnsiTheme="minorHAnsi"/>
                <w:b/>
                <w:color w:val="000000" w:themeColor="text1"/>
                <w:sz w:val="24"/>
                <w:szCs w:val="19"/>
                <w:lang w:val="en-NZ"/>
              </w:rPr>
            </w:pPr>
            <w:r w:rsidRPr="00120AEC">
              <w:rPr>
                <w:rFonts w:asciiTheme="minorHAnsi" w:hAnsiTheme="minorHAnsi"/>
                <w:b/>
                <w:color w:val="000000" w:themeColor="text1"/>
                <w:sz w:val="24"/>
                <w:szCs w:val="19"/>
                <w:lang w:val="en-NZ"/>
              </w:rPr>
              <w:t>Theme</w:t>
            </w:r>
          </w:p>
        </w:tc>
        <w:tc>
          <w:tcPr>
            <w:tcW w:w="7514" w:type="dxa"/>
          </w:tcPr>
          <w:p w:rsidR="00050705" w:rsidRPr="00120AEC" w:rsidRDefault="00050705" w:rsidP="00870931">
            <w:pPr>
              <w:keepLines/>
              <w:spacing w:before="120" w:line="240" w:lineRule="atLeast"/>
              <w:rPr>
                <w:rFonts w:asciiTheme="minorHAnsi" w:hAnsiTheme="minorHAnsi"/>
                <w:b/>
                <w:color w:val="000000" w:themeColor="text1"/>
                <w:sz w:val="24"/>
                <w:szCs w:val="19"/>
                <w:lang w:val="en-NZ" w:eastAsia="en-GB"/>
              </w:rPr>
            </w:pPr>
            <w:r w:rsidRPr="00120AEC">
              <w:rPr>
                <w:rFonts w:asciiTheme="minorHAnsi" w:hAnsiTheme="minorHAnsi"/>
                <w:b/>
                <w:color w:val="000000" w:themeColor="text1"/>
                <w:sz w:val="24"/>
                <w:szCs w:val="19"/>
                <w:lang w:val="en-NZ" w:eastAsia="en-GB"/>
              </w:rPr>
              <w:t>Building Standards and Constructability</w:t>
            </w:r>
          </w:p>
        </w:tc>
      </w:tr>
      <w:tr w:rsidR="00050705" w:rsidRPr="00120AEC" w:rsidTr="00870931">
        <w:tc>
          <w:tcPr>
            <w:tcW w:w="1615" w:type="dxa"/>
          </w:tcPr>
          <w:p w:rsidR="00050705" w:rsidRPr="00120AEC" w:rsidRDefault="00050705" w:rsidP="00870931">
            <w:pPr>
              <w:keepLines/>
              <w:spacing w:before="120" w:line="240" w:lineRule="atLeast"/>
              <w:rPr>
                <w:rFonts w:asciiTheme="minorHAnsi" w:hAnsiTheme="minorHAnsi"/>
                <w:b/>
                <w:color w:val="000000" w:themeColor="text1"/>
                <w:sz w:val="24"/>
                <w:szCs w:val="19"/>
                <w:lang w:val="en-NZ"/>
              </w:rPr>
            </w:pPr>
            <w:r>
              <w:rPr>
                <w:rFonts w:asciiTheme="minorHAnsi" w:hAnsiTheme="minorHAnsi"/>
                <w:b/>
                <w:color w:val="000000" w:themeColor="text1"/>
                <w:sz w:val="24"/>
                <w:szCs w:val="19"/>
                <w:lang w:val="en-NZ"/>
              </w:rPr>
              <w:t>Scope</w:t>
            </w:r>
          </w:p>
        </w:tc>
        <w:tc>
          <w:tcPr>
            <w:tcW w:w="7514" w:type="dxa"/>
          </w:tcPr>
          <w:p w:rsidR="00050705" w:rsidRPr="00120AEC" w:rsidRDefault="00050705" w:rsidP="00870931">
            <w:pPr>
              <w:keepLines/>
              <w:spacing w:before="120" w:line="240" w:lineRule="atLeast"/>
              <w:rPr>
                <w:rFonts w:asciiTheme="minorHAnsi" w:hAnsiTheme="minorHAnsi"/>
                <w:color w:val="000000" w:themeColor="text1"/>
                <w:sz w:val="24"/>
                <w:szCs w:val="19"/>
                <w:lang w:val="en-NZ"/>
              </w:rPr>
            </w:pPr>
            <w:r>
              <w:rPr>
                <w:rFonts w:asciiTheme="minorHAnsi" w:hAnsiTheme="minorHAnsi"/>
                <w:color w:val="000000" w:themeColor="text1"/>
                <w:sz w:val="24"/>
                <w:szCs w:val="19"/>
                <w:lang w:val="en-NZ"/>
              </w:rPr>
              <w:t>Develop s</w:t>
            </w:r>
            <w:r w:rsidRPr="00120AEC">
              <w:rPr>
                <w:rFonts w:asciiTheme="minorHAnsi" w:hAnsiTheme="minorHAnsi"/>
                <w:color w:val="000000" w:themeColor="text1"/>
                <w:sz w:val="24"/>
                <w:szCs w:val="19"/>
                <w:lang w:val="en-NZ"/>
              </w:rPr>
              <w:t>tandardisation of specifications</w:t>
            </w:r>
          </w:p>
        </w:tc>
      </w:tr>
      <w:tr w:rsidR="00050705" w:rsidRPr="00120AEC" w:rsidTr="00870931">
        <w:tc>
          <w:tcPr>
            <w:tcW w:w="1615" w:type="dxa"/>
          </w:tcPr>
          <w:p w:rsidR="00050705" w:rsidRPr="00120AEC" w:rsidRDefault="00050705" w:rsidP="00870931">
            <w:pPr>
              <w:keepLines/>
              <w:spacing w:before="120" w:line="240" w:lineRule="atLeast"/>
              <w:rPr>
                <w:rFonts w:asciiTheme="minorHAnsi" w:hAnsiTheme="minorHAnsi"/>
                <w:b/>
                <w:color w:val="000000" w:themeColor="text1"/>
                <w:sz w:val="24"/>
                <w:szCs w:val="19"/>
                <w:lang w:val="en-NZ"/>
              </w:rPr>
            </w:pPr>
            <w:r>
              <w:rPr>
                <w:rFonts w:asciiTheme="minorHAnsi" w:hAnsiTheme="minorHAnsi"/>
                <w:b/>
                <w:color w:val="000000" w:themeColor="text1"/>
                <w:sz w:val="24"/>
                <w:szCs w:val="19"/>
                <w:lang w:val="en-NZ"/>
              </w:rPr>
              <w:t>Actions</w:t>
            </w:r>
          </w:p>
        </w:tc>
        <w:tc>
          <w:tcPr>
            <w:tcW w:w="7514" w:type="dxa"/>
          </w:tcPr>
          <w:p w:rsidR="00050705" w:rsidRPr="00A25829" w:rsidRDefault="00050705" w:rsidP="00870931">
            <w:pPr>
              <w:pStyle w:val="ListParagraph"/>
              <w:keepLines/>
              <w:numPr>
                <w:ilvl w:val="0"/>
                <w:numId w:val="21"/>
              </w:numPr>
              <w:spacing w:before="120" w:after="40" w:line="240" w:lineRule="atLeast"/>
              <w:ind w:left="540" w:hanging="425"/>
              <w:contextualSpacing w:val="0"/>
              <w:rPr>
                <w:rFonts w:asciiTheme="minorHAnsi" w:hAnsiTheme="minorHAnsi"/>
                <w:i/>
                <w:color w:val="000000" w:themeColor="text1"/>
                <w:sz w:val="24"/>
                <w:szCs w:val="19"/>
                <w:lang w:val="en-NZ"/>
              </w:rPr>
            </w:pPr>
            <w:r w:rsidRPr="00A25829">
              <w:rPr>
                <w:rFonts w:asciiTheme="minorHAnsi" w:hAnsiTheme="minorHAnsi"/>
                <w:i/>
                <w:color w:val="000000" w:themeColor="text1"/>
                <w:sz w:val="24"/>
                <w:szCs w:val="19"/>
                <w:lang w:val="en-NZ"/>
              </w:rPr>
              <w:t xml:space="preserve">Develop standard specifications </w:t>
            </w:r>
            <w:r>
              <w:rPr>
                <w:rFonts w:asciiTheme="minorHAnsi" w:hAnsiTheme="minorHAnsi"/>
                <w:i/>
                <w:color w:val="000000" w:themeColor="text1"/>
                <w:sz w:val="24"/>
                <w:szCs w:val="19"/>
                <w:lang w:val="en-NZ"/>
              </w:rPr>
              <w:t xml:space="preserve">for use </w:t>
            </w:r>
            <w:r w:rsidRPr="00A25829">
              <w:rPr>
                <w:rFonts w:asciiTheme="minorHAnsi" w:hAnsiTheme="minorHAnsi"/>
                <w:i/>
                <w:color w:val="000000" w:themeColor="text1"/>
                <w:sz w:val="24"/>
                <w:szCs w:val="19"/>
                <w:lang w:val="en-NZ"/>
              </w:rPr>
              <w:t>across New Zealand</w:t>
            </w:r>
          </w:p>
          <w:p w:rsidR="00050705" w:rsidRPr="00120AEC" w:rsidRDefault="00050705" w:rsidP="00870931">
            <w:pPr>
              <w:pStyle w:val="ListParagraph"/>
              <w:keepLines/>
              <w:numPr>
                <w:ilvl w:val="0"/>
                <w:numId w:val="21"/>
              </w:numPr>
              <w:spacing w:before="120" w:after="40" w:line="240" w:lineRule="atLeast"/>
              <w:ind w:left="540" w:hanging="425"/>
              <w:contextualSpacing w:val="0"/>
              <w:rPr>
                <w:rFonts w:asciiTheme="minorHAnsi" w:hAnsiTheme="minorHAnsi"/>
                <w:i/>
                <w:color w:val="000000" w:themeColor="text1"/>
                <w:sz w:val="24"/>
                <w:szCs w:val="19"/>
                <w:lang w:val="en-NZ"/>
              </w:rPr>
            </w:pPr>
            <w:r>
              <w:rPr>
                <w:rFonts w:asciiTheme="minorHAnsi" w:hAnsiTheme="minorHAnsi"/>
                <w:i/>
                <w:color w:val="000000" w:themeColor="text1"/>
                <w:sz w:val="24"/>
                <w:szCs w:val="19"/>
                <w:lang w:val="en-NZ"/>
              </w:rPr>
              <w:t xml:space="preserve">Develop standard specifications for </w:t>
            </w:r>
            <w:r w:rsidRPr="00120AEC">
              <w:rPr>
                <w:rFonts w:asciiTheme="minorHAnsi" w:hAnsiTheme="minorHAnsi"/>
                <w:i/>
                <w:color w:val="000000" w:themeColor="text1"/>
                <w:sz w:val="24"/>
                <w:szCs w:val="19"/>
                <w:lang w:val="en-NZ"/>
              </w:rPr>
              <w:t>Trenchless technologies</w:t>
            </w:r>
          </w:p>
          <w:p w:rsidR="00050705" w:rsidRPr="00120AEC" w:rsidRDefault="00050705" w:rsidP="00870931">
            <w:pPr>
              <w:pStyle w:val="ListParagraph"/>
              <w:keepLines/>
              <w:numPr>
                <w:ilvl w:val="0"/>
                <w:numId w:val="21"/>
              </w:numPr>
              <w:spacing w:before="120" w:after="40" w:line="240" w:lineRule="atLeast"/>
              <w:ind w:left="540" w:hanging="425"/>
              <w:contextualSpacing w:val="0"/>
              <w:rPr>
                <w:rFonts w:asciiTheme="minorHAnsi" w:hAnsiTheme="minorHAnsi"/>
                <w:color w:val="000000" w:themeColor="text1"/>
                <w:sz w:val="24"/>
                <w:szCs w:val="19"/>
                <w:lang w:val="en-NZ"/>
              </w:rPr>
            </w:pPr>
            <w:r>
              <w:rPr>
                <w:rFonts w:asciiTheme="minorHAnsi" w:hAnsiTheme="minorHAnsi"/>
                <w:i/>
                <w:color w:val="000000" w:themeColor="text1"/>
                <w:sz w:val="24"/>
                <w:szCs w:val="19"/>
                <w:lang w:val="en-NZ"/>
              </w:rPr>
              <w:t xml:space="preserve">Develop process that enable </w:t>
            </w:r>
            <w:r w:rsidRPr="00120AEC">
              <w:rPr>
                <w:rFonts w:asciiTheme="minorHAnsi" w:hAnsiTheme="minorHAnsi"/>
                <w:i/>
                <w:color w:val="000000" w:themeColor="text1"/>
                <w:sz w:val="24"/>
                <w:szCs w:val="19"/>
                <w:lang w:val="en-NZ"/>
              </w:rPr>
              <w:t>innovative methods and materials</w:t>
            </w:r>
            <w:r>
              <w:rPr>
                <w:rFonts w:asciiTheme="minorHAnsi" w:hAnsiTheme="minorHAnsi"/>
                <w:i/>
                <w:color w:val="000000" w:themeColor="text1"/>
                <w:sz w:val="24"/>
                <w:szCs w:val="19"/>
                <w:lang w:val="en-NZ"/>
              </w:rPr>
              <w:t xml:space="preserve"> to be assessed and trialled before they are introduced for widespread use (this is not intended to slow down the adoption of new technologies rather ensuring they are introduced in a manner where learnings can be shared. </w:t>
            </w:r>
          </w:p>
        </w:tc>
      </w:tr>
    </w:tbl>
    <w:p w:rsidR="00050705" w:rsidRDefault="00050705">
      <w:pPr>
        <w:spacing w:after="200" w:line="0" w:lineRule="auto"/>
        <w:rPr>
          <w:rFonts w:ascii="Calibri" w:eastAsia="Arial" w:hAnsi="Calibri" w:cs="Arial"/>
          <w:b/>
          <w:bCs/>
          <w:iCs/>
          <w:color w:val="323232"/>
          <w:sz w:val="32"/>
          <w:szCs w:val="28"/>
          <w:lang w:val="en-NZ"/>
        </w:rPr>
      </w:pPr>
    </w:p>
    <w:p w:rsidR="00050705" w:rsidRDefault="00050705" w:rsidP="00B17AF7">
      <w:pPr>
        <w:pStyle w:val="Heading2"/>
      </w:pPr>
    </w:p>
    <w:p w:rsidR="00B17AF7" w:rsidRDefault="00D57441" w:rsidP="00B17AF7">
      <w:pPr>
        <w:pStyle w:val="Heading2"/>
      </w:pPr>
      <w:r>
        <w:t>Structures for delivering national guidance in the 3 Waters sector</w:t>
      </w:r>
    </w:p>
    <w:p w:rsidR="007B3A10" w:rsidRDefault="00A10777" w:rsidP="00F64FE5">
      <w:pPr>
        <w:pStyle w:val="BodyText"/>
      </w:pPr>
      <w:r>
        <w:t xml:space="preserve">With such a clearly identified need and the very large positive financial benefits that are likely to accrue, it would be sensible to create a structure that can support the development of the guidance. </w:t>
      </w:r>
      <w:r w:rsidR="00D57441">
        <w:t xml:space="preserve">There are important ongoing discussions regarding the structure and governance of the 3 Waters sector. Much of this thinking is laid out in the positioning paper published by LGNZ </w:t>
      </w:r>
      <w:r w:rsidR="00D57441" w:rsidRPr="00D57441">
        <w:rPr>
          <w:i/>
        </w:rPr>
        <w:t xml:space="preserve">Improving New Zealand’s water, wastewater and </w:t>
      </w:r>
      <w:proofErr w:type="spellStart"/>
      <w:r w:rsidR="00D57441" w:rsidRPr="00D57441">
        <w:rPr>
          <w:i/>
        </w:rPr>
        <w:t>stormwater</w:t>
      </w:r>
      <w:proofErr w:type="spellEnd"/>
      <w:r w:rsidR="00D57441" w:rsidRPr="00D57441">
        <w:rPr>
          <w:i/>
        </w:rPr>
        <w:t xml:space="preserve"> sector</w:t>
      </w:r>
      <w:r w:rsidR="00D57441">
        <w:rPr>
          <w:i/>
        </w:rPr>
        <w:t>.</w:t>
      </w:r>
      <w:r w:rsidR="00D57441">
        <w:rPr>
          <w:rStyle w:val="FootnoteReference"/>
          <w:i/>
        </w:rPr>
        <w:footnoteReference w:id="2"/>
      </w:r>
      <w:r w:rsidR="00D57441">
        <w:t xml:space="preserve"> The structure for producing and delivering national guidance needs to integrate seamlessly with the eventual governance structure of the sector but it also needs to reflect the needs the end-users of the guidance and current structures and intellectual property</w:t>
      </w:r>
      <w:r w:rsidR="007B3A10">
        <w:t xml:space="preserve"> constraints. Some perspectives from the Quake Centre on the production of the guidance materials are laid out as follows.</w:t>
      </w:r>
    </w:p>
    <w:p w:rsidR="00050705" w:rsidRDefault="00050705" w:rsidP="00F64FE5">
      <w:pPr>
        <w:pStyle w:val="BodyText"/>
      </w:pPr>
    </w:p>
    <w:p w:rsidR="007B3A10" w:rsidRDefault="00B86616" w:rsidP="00F64FE5">
      <w:pPr>
        <w:pStyle w:val="BodyText"/>
      </w:pPr>
      <w:r>
        <w:lastRenderedPageBreak/>
        <w:t>In respect to guidance material, k</w:t>
      </w:r>
      <w:r w:rsidR="007B3A10">
        <w:t>ey issues</w:t>
      </w:r>
      <w:r>
        <w:t xml:space="preserve"> </w:t>
      </w:r>
      <w:r w:rsidR="007B3A10">
        <w:t xml:space="preserve">can be separated into the following aspects. </w:t>
      </w:r>
    </w:p>
    <w:p w:rsidR="007B3A10" w:rsidRDefault="007B3A10" w:rsidP="007B3A10">
      <w:pPr>
        <w:pStyle w:val="ListNumber"/>
      </w:pPr>
      <w:r>
        <w:t>Governance</w:t>
      </w:r>
    </w:p>
    <w:p w:rsidR="007B3A10" w:rsidRDefault="007B3A10" w:rsidP="007B3A10">
      <w:pPr>
        <w:pStyle w:val="ListNumber"/>
      </w:pPr>
      <w:r>
        <w:t>Leadership</w:t>
      </w:r>
    </w:p>
    <w:p w:rsidR="007B3A10" w:rsidRDefault="007B3A10" w:rsidP="007B3A10">
      <w:pPr>
        <w:pStyle w:val="ListNumber"/>
      </w:pPr>
      <w:r>
        <w:t>Ownership</w:t>
      </w:r>
    </w:p>
    <w:p w:rsidR="007B3A10" w:rsidRDefault="007B3A10" w:rsidP="002B422A">
      <w:pPr>
        <w:pStyle w:val="ListNumber2"/>
      </w:pPr>
      <w:r>
        <w:t>Funding</w:t>
      </w:r>
    </w:p>
    <w:p w:rsidR="007B3A10" w:rsidRDefault="007B3A10" w:rsidP="002B422A">
      <w:pPr>
        <w:pStyle w:val="ListNumber2"/>
      </w:pPr>
      <w:r>
        <w:t>Writing</w:t>
      </w:r>
    </w:p>
    <w:p w:rsidR="007B3A10" w:rsidRDefault="007B3A10" w:rsidP="002B422A">
      <w:pPr>
        <w:pStyle w:val="ListNumber2"/>
      </w:pPr>
      <w:r>
        <w:t>Dissemination</w:t>
      </w:r>
    </w:p>
    <w:p w:rsidR="007B3A10" w:rsidRDefault="007B3A10" w:rsidP="002B422A">
      <w:pPr>
        <w:pStyle w:val="ListNumber2"/>
      </w:pPr>
      <w:r>
        <w:t>Training</w:t>
      </w:r>
    </w:p>
    <w:p w:rsidR="007B3A10" w:rsidRDefault="007B3A10" w:rsidP="002B422A">
      <w:pPr>
        <w:pStyle w:val="ListNumber2"/>
      </w:pPr>
      <w:r>
        <w:t>Updating</w:t>
      </w:r>
      <w:r w:rsidR="00B86616">
        <w:t xml:space="preserve"> and long-term research need</w:t>
      </w:r>
    </w:p>
    <w:p w:rsidR="0016487E" w:rsidRDefault="006813D4" w:rsidP="00F64FE5">
      <w:pPr>
        <w:pStyle w:val="BodyText"/>
      </w:pPr>
      <w:r>
        <w:t>There are a number of key organisations in th</w:t>
      </w:r>
      <w:r w:rsidR="008E214C">
        <w:t xml:space="preserve">e sector that could come together to provide the </w:t>
      </w:r>
      <w:r w:rsidR="007B3A10">
        <w:t>aspects</w:t>
      </w:r>
      <w:r w:rsidR="008E214C">
        <w:t xml:space="preserve"> required. </w:t>
      </w:r>
    </w:p>
    <w:p w:rsidR="0016487E" w:rsidRPr="0016487E" w:rsidRDefault="0016487E" w:rsidP="0016487E">
      <w:pPr>
        <w:pStyle w:val="Heading3"/>
      </w:pPr>
      <w:r>
        <w:t>Governance</w:t>
      </w:r>
    </w:p>
    <w:p w:rsidR="00F64FE5" w:rsidRDefault="007B3A10" w:rsidP="00F64FE5">
      <w:pPr>
        <w:pStyle w:val="BodyText"/>
      </w:pPr>
      <w:r>
        <w:t>From a governance perspective,</w:t>
      </w:r>
      <w:r w:rsidR="00F64FE5">
        <w:t xml:space="preserve"> a tiered approach may be required to ensure all relevant parties are included but without creating a structure that is too cumbersome to be effective.</w:t>
      </w:r>
      <w:r w:rsidR="00511572">
        <w:t xml:space="preserve"> The governance group need to ensure the overall direction of the guidance meets the national need and that the approach is effective and sustainable.</w:t>
      </w:r>
      <w:r w:rsidR="00F64FE5">
        <w:t xml:space="preserve"> Initial suggestions</w:t>
      </w:r>
      <w:r w:rsidR="008E214C">
        <w:t xml:space="preserve"> </w:t>
      </w:r>
      <w:r w:rsidR="00511572">
        <w:t xml:space="preserve">of the governance membership </w:t>
      </w:r>
      <w:r w:rsidR="008E214C">
        <w:t>include:</w:t>
      </w:r>
    </w:p>
    <w:p w:rsidR="00F64FE5" w:rsidRPr="00F64FE5" w:rsidRDefault="00F64FE5" w:rsidP="0016487E">
      <w:pPr>
        <w:pStyle w:val="Heading4"/>
      </w:pPr>
      <w:r>
        <w:t>Tier 1</w:t>
      </w:r>
      <w:r w:rsidR="007A3671">
        <w:t>: National representation (Industry and Government)</w:t>
      </w:r>
    </w:p>
    <w:p w:rsidR="008E214C" w:rsidRDefault="008E214C" w:rsidP="008E214C">
      <w:pPr>
        <w:pStyle w:val="ListBullet"/>
      </w:pPr>
      <w:r>
        <w:t>IPWEA</w:t>
      </w:r>
    </w:p>
    <w:p w:rsidR="008E214C" w:rsidRDefault="008E214C" w:rsidP="008E214C">
      <w:pPr>
        <w:pStyle w:val="ListBullet"/>
      </w:pPr>
      <w:r>
        <w:t>Water New Zealand</w:t>
      </w:r>
    </w:p>
    <w:p w:rsidR="008E214C" w:rsidRDefault="008E214C" w:rsidP="008E214C">
      <w:pPr>
        <w:pStyle w:val="ListBullet"/>
      </w:pPr>
      <w:r>
        <w:t>LGNZ</w:t>
      </w:r>
    </w:p>
    <w:p w:rsidR="008E214C" w:rsidRDefault="008E214C" w:rsidP="008E214C">
      <w:pPr>
        <w:pStyle w:val="ListBullet"/>
      </w:pPr>
      <w:r>
        <w:t>Civil Contractors NZ</w:t>
      </w:r>
    </w:p>
    <w:p w:rsidR="008E214C" w:rsidRDefault="008E214C" w:rsidP="008E214C">
      <w:pPr>
        <w:pStyle w:val="ListBullet"/>
      </w:pPr>
      <w:r>
        <w:t>The National Infrastructure Unit</w:t>
      </w:r>
    </w:p>
    <w:p w:rsidR="008E214C" w:rsidRDefault="008E214C" w:rsidP="008E214C">
      <w:pPr>
        <w:pStyle w:val="ListBullet"/>
      </w:pPr>
      <w:r>
        <w:t>MBIE</w:t>
      </w:r>
    </w:p>
    <w:p w:rsidR="008E214C" w:rsidRDefault="008E214C" w:rsidP="008E214C">
      <w:pPr>
        <w:pStyle w:val="ListBullet"/>
      </w:pPr>
      <w:r>
        <w:t>The Quake Centre</w:t>
      </w:r>
    </w:p>
    <w:p w:rsidR="000236F6" w:rsidRDefault="000236F6" w:rsidP="008E214C">
      <w:pPr>
        <w:pStyle w:val="ListBullet"/>
      </w:pPr>
      <w:r>
        <w:t>National Lifelines</w:t>
      </w:r>
    </w:p>
    <w:p w:rsidR="00F64FE5" w:rsidRDefault="00F64FE5" w:rsidP="0016487E">
      <w:pPr>
        <w:pStyle w:val="Heading4"/>
      </w:pPr>
      <w:r>
        <w:t>Tier 2</w:t>
      </w:r>
      <w:r w:rsidR="007A3671">
        <w:t>: Primary stakeholders</w:t>
      </w:r>
    </w:p>
    <w:p w:rsidR="00F64FE5" w:rsidRDefault="007A3671" w:rsidP="00F64FE5">
      <w:pPr>
        <w:pStyle w:val="ListBullet"/>
      </w:pPr>
      <w:r>
        <w:t>Asset owners and managers such as</w:t>
      </w:r>
      <w:r w:rsidR="00F64FE5">
        <w:t>:</w:t>
      </w:r>
    </w:p>
    <w:p w:rsidR="00377D4A" w:rsidRDefault="00377D4A" w:rsidP="00377D4A">
      <w:pPr>
        <w:pStyle w:val="ListBullet2"/>
      </w:pPr>
      <w:r>
        <w:t>CCC</w:t>
      </w:r>
    </w:p>
    <w:p w:rsidR="00377D4A" w:rsidRDefault="00377D4A" w:rsidP="00F64FE5">
      <w:pPr>
        <w:pStyle w:val="ListBullet2"/>
      </w:pPr>
      <w:r>
        <w:t>Auckland Council</w:t>
      </w:r>
    </w:p>
    <w:p w:rsidR="00F64FE5" w:rsidRDefault="00F64FE5" w:rsidP="00F64FE5">
      <w:pPr>
        <w:pStyle w:val="ListBullet2"/>
      </w:pPr>
      <w:proofErr w:type="spellStart"/>
      <w:r>
        <w:t>Watercare</w:t>
      </w:r>
      <w:proofErr w:type="spellEnd"/>
      <w:r>
        <w:t xml:space="preserve"> </w:t>
      </w:r>
    </w:p>
    <w:p w:rsidR="00F64FE5" w:rsidRDefault="00F64FE5" w:rsidP="00F64FE5">
      <w:pPr>
        <w:pStyle w:val="ListBullet2"/>
      </w:pPr>
      <w:r>
        <w:t xml:space="preserve">Wellington Water </w:t>
      </w:r>
    </w:p>
    <w:p w:rsidR="00F64FE5" w:rsidRDefault="00F64FE5" w:rsidP="00F64FE5">
      <w:pPr>
        <w:pStyle w:val="ListBullet2"/>
      </w:pPr>
      <w:r>
        <w:t>Veolia</w:t>
      </w:r>
      <w:r w:rsidR="00B86616">
        <w:t>, etc.</w:t>
      </w:r>
    </w:p>
    <w:p w:rsidR="007A3671" w:rsidRDefault="007A3671" w:rsidP="007A3671">
      <w:pPr>
        <w:pStyle w:val="ListBullet"/>
      </w:pPr>
      <w:r>
        <w:t>Consultants:</w:t>
      </w:r>
    </w:p>
    <w:p w:rsidR="00F64FE5" w:rsidRDefault="00F64FE5" w:rsidP="00F64FE5">
      <w:pPr>
        <w:pStyle w:val="ListBullet2"/>
      </w:pPr>
      <w:r>
        <w:t>Opus</w:t>
      </w:r>
    </w:p>
    <w:p w:rsidR="00F64FE5" w:rsidRDefault="00F64FE5" w:rsidP="00F64FE5">
      <w:pPr>
        <w:pStyle w:val="ListBullet2"/>
      </w:pPr>
      <w:proofErr w:type="spellStart"/>
      <w:r>
        <w:t>Beca</w:t>
      </w:r>
      <w:proofErr w:type="spellEnd"/>
    </w:p>
    <w:p w:rsidR="00F64FE5" w:rsidRDefault="00B86616" w:rsidP="00F64FE5">
      <w:pPr>
        <w:pStyle w:val="ListBullet2"/>
      </w:pPr>
      <w:r>
        <w:t>MWH, etc.</w:t>
      </w:r>
    </w:p>
    <w:p w:rsidR="007A3671" w:rsidRDefault="007A3671" w:rsidP="007A3671">
      <w:pPr>
        <w:pStyle w:val="ListBullet"/>
      </w:pPr>
      <w:r>
        <w:t>Manufacturers and contractors:</w:t>
      </w:r>
    </w:p>
    <w:p w:rsidR="00F64FE5" w:rsidRDefault="00F64FE5" w:rsidP="00F64FE5">
      <w:pPr>
        <w:pStyle w:val="ListBullet2"/>
      </w:pPr>
      <w:proofErr w:type="spellStart"/>
      <w:r>
        <w:t>Hynds</w:t>
      </w:r>
      <w:proofErr w:type="spellEnd"/>
    </w:p>
    <w:p w:rsidR="00F64FE5" w:rsidRDefault="00F64FE5" w:rsidP="00F64FE5">
      <w:pPr>
        <w:pStyle w:val="ListBullet2"/>
      </w:pPr>
      <w:r>
        <w:lastRenderedPageBreak/>
        <w:t>Fletcher/</w:t>
      </w:r>
      <w:proofErr w:type="spellStart"/>
      <w:r>
        <w:t>Humes</w:t>
      </w:r>
      <w:proofErr w:type="spellEnd"/>
    </w:p>
    <w:p w:rsidR="00F64FE5" w:rsidRDefault="00F64FE5" w:rsidP="00F64FE5">
      <w:pPr>
        <w:pStyle w:val="ListBullet2"/>
      </w:pPr>
      <w:r>
        <w:t>Fulton Hogan</w:t>
      </w:r>
    </w:p>
    <w:p w:rsidR="00F64FE5" w:rsidRDefault="00F64FE5" w:rsidP="00F64FE5">
      <w:pPr>
        <w:pStyle w:val="ListBullet2"/>
      </w:pPr>
      <w:r>
        <w:t>City Care</w:t>
      </w:r>
    </w:p>
    <w:p w:rsidR="00F64FE5" w:rsidRDefault="00F64FE5" w:rsidP="00F64FE5">
      <w:pPr>
        <w:pStyle w:val="ListBullet2"/>
      </w:pPr>
      <w:r>
        <w:t>Etc.</w:t>
      </w:r>
    </w:p>
    <w:p w:rsidR="00F64FE5" w:rsidRDefault="00F64FE5" w:rsidP="00F64FE5">
      <w:pPr>
        <w:pStyle w:val="ListBullet"/>
      </w:pPr>
      <w:r w:rsidRPr="000D2759">
        <w:t>Concrete Pipe Association of Australasia</w:t>
      </w:r>
    </w:p>
    <w:p w:rsidR="00F64FE5" w:rsidRDefault="00F64FE5" w:rsidP="00F64FE5">
      <w:pPr>
        <w:pStyle w:val="ListBullet"/>
      </w:pPr>
      <w:r w:rsidRPr="000D2759">
        <w:t>Irrigation Association of NZ</w:t>
      </w:r>
    </w:p>
    <w:p w:rsidR="0068699C" w:rsidRDefault="0068699C" w:rsidP="0068699C">
      <w:pPr>
        <w:pStyle w:val="Heading3"/>
      </w:pPr>
      <w:r>
        <w:t>Programme development leadership team</w:t>
      </w:r>
    </w:p>
    <w:p w:rsidR="0068699C" w:rsidRDefault="0068699C" w:rsidP="0068699C">
      <w:pPr>
        <w:pStyle w:val="BodyText"/>
      </w:pPr>
      <w:r>
        <w:t>This represents those people who will directly contribute to the leadership and development of the guidance and who have a financial s</w:t>
      </w:r>
      <w:r w:rsidR="00B86616">
        <w:t>take in the programme of work. Some p</w:t>
      </w:r>
      <w:r>
        <w:t>ossible contributors are:</w:t>
      </w:r>
    </w:p>
    <w:p w:rsidR="0068699C" w:rsidRDefault="0068699C" w:rsidP="0068699C">
      <w:pPr>
        <w:pStyle w:val="ListBullet"/>
      </w:pPr>
      <w:r>
        <w:t>MBIE</w:t>
      </w:r>
    </w:p>
    <w:p w:rsidR="0068699C" w:rsidRDefault="0068699C" w:rsidP="0068699C">
      <w:pPr>
        <w:pStyle w:val="ListBullet"/>
      </w:pPr>
      <w:r>
        <w:t>Water NZ</w:t>
      </w:r>
    </w:p>
    <w:p w:rsidR="0068699C" w:rsidRDefault="0068699C" w:rsidP="0068699C">
      <w:pPr>
        <w:pStyle w:val="ListBullet"/>
      </w:pPr>
      <w:r>
        <w:t>Quake Centre</w:t>
      </w:r>
    </w:p>
    <w:p w:rsidR="0068699C" w:rsidRDefault="0068699C" w:rsidP="0068699C">
      <w:pPr>
        <w:pStyle w:val="ListBullet"/>
      </w:pPr>
      <w:r>
        <w:t>IPWEA</w:t>
      </w:r>
    </w:p>
    <w:p w:rsidR="0068699C" w:rsidRDefault="0068699C" w:rsidP="0068699C">
      <w:pPr>
        <w:pStyle w:val="ListBullet"/>
      </w:pPr>
      <w:proofErr w:type="spellStart"/>
      <w:r>
        <w:t>Watercare</w:t>
      </w:r>
      <w:proofErr w:type="spellEnd"/>
    </w:p>
    <w:p w:rsidR="0068699C" w:rsidRDefault="0068699C" w:rsidP="0068699C">
      <w:pPr>
        <w:pStyle w:val="ListBullet"/>
      </w:pPr>
      <w:r>
        <w:t>CCC</w:t>
      </w:r>
    </w:p>
    <w:p w:rsidR="0068699C" w:rsidRDefault="0068699C" w:rsidP="0068699C">
      <w:pPr>
        <w:pStyle w:val="ListBullet"/>
      </w:pPr>
      <w:r>
        <w:t>Fletcher</w:t>
      </w:r>
    </w:p>
    <w:p w:rsidR="0068699C" w:rsidRDefault="0068699C" w:rsidP="0068699C">
      <w:pPr>
        <w:pStyle w:val="ListBullet"/>
      </w:pPr>
      <w:r>
        <w:t>Fulton Hogan</w:t>
      </w:r>
    </w:p>
    <w:p w:rsidR="0068699C" w:rsidRDefault="0068699C" w:rsidP="0068699C">
      <w:pPr>
        <w:pStyle w:val="ListBullet"/>
      </w:pPr>
      <w:proofErr w:type="spellStart"/>
      <w:r>
        <w:t>Hynds</w:t>
      </w:r>
      <w:proofErr w:type="spellEnd"/>
    </w:p>
    <w:p w:rsidR="0068699C" w:rsidRDefault="0068699C" w:rsidP="0068699C">
      <w:pPr>
        <w:pStyle w:val="ListBullet"/>
      </w:pPr>
      <w:r>
        <w:t>Etc.</w:t>
      </w:r>
    </w:p>
    <w:p w:rsidR="00511572" w:rsidRPr="0068699C" w:rsidRDefault="00511572" w:rsidP="00511572">
      <w:pPr>
        <w:pStyle w:val="BodyText"/>
      </w:pPr>
      <w:r>
        <w:t>The leadership need to decide on priorities, formats, writing and reviewing teams and programme and project management.</w:t>
      </w:r>
    </w:p>
    <w:p w:rsidR="0016487E" w:rsidRDefault="0016487E" w:rsidP="0016487E">
      <w:pPr>
        <w:pStyle w:val="Heading3"/>
      </w:pPr>
      <w:r>
        <w:t>Ownership</w:t>
      </w:r>
    </w:p>
    <w:p w:rsidR="003F1C2E" w:rsidRDefault="0016487E" w:rsidP="0016487E">
      <w:pPr>
        <w:pStyle w:val="BodyText"/>
      </w:pPr>
      <w:r>
        <w:t>Ownership of the guidance material is a very important topic. The owner is responsible for quality assurance, updating, deciding who has the rights to use the material and at what cost. The Quake Centre has a preferred ownership model under which all materials are developed for the public</w:t>
      </w:r>
      <w:r w:rsidR="003F1C2E">
        <w:t xml:space="preserve"> good</w:t>
      </w:r>
      <w:r>
        <w:t xml:space="preserve"> regardless of the sources of funding. Ownership of the material belongs to whoever developed it but it is shared under a creative commons licence allowing any person to use the material</w:t>
      </w:r>
      <w:r w:rsidR="003F1C2E">
        <w:t xml:space="preserve"> as long as it is unaltered and the owner is attributed. Underpinning this ownership model is a partnership arrangement whereby organisations pool their resources to deliver the outcomes required.</w:t>
      </w:r>
    </w:p>
    <w:p w:rsidR="003F1C2E" w:rsidRDefault="003F1C2E" w:rsidP="003F1C2E">
      <w:pPr>
        <w:pStyle w:val="Heading3"/>
      </w:pPr>
      <w:r>
        <w:lastRenderedPageBreak/>
        <w:t>Funding</w:t>
      </w:r>
    </w:p>
    <w:p w:rsidR="0016487E" w:rsidRDefault="003F1C2E" w:rsidP="003F1C2E">
      <w:pPr>
        <w:pStyle w:val="BodyText"/>
      </w:pPr>
      <w:r>
        <w:t>Funding the devel</w:t>
      </w:r>
      <w:r w:rsidR="00EA2B3D">
        <w:t>op</w:t>
      </w:r>
      <w:r w:rsidR="002B422A">
        <w:t>ment of the guidance material is</w:t>
      </w:r>
      <w:r w:rsidR="00EA2B3D">
        <w:t xml:space="preserve"> linked strongly to the model chosen for dissemination. One model is that the cost of material development is completely covered by the cost of material dissemination, i.e., selling the material to fund its development. The model preferred by the Quake Centre is one whereby a combination of partnership funding, central government</w:t>
      </w:r>
      <w:r w:rsidR="002B422A">
        <w:t xml:space="preserve">, </w:t>
      </w:r>
      <w:r w:rsidR="00EA2B3D">
        <w:t>other funds</w:t>
      </w:r>
      <w:r w:rsidR="002B422A">
        <w:t xml:space="preserve"> and in-kind support</w:t>
      </w:r>
      <w:r w:rsidR="00EA2B3D">
        <w:t xml:space="preserve"> are used for the production of the material. Material is available online for free whereby it can be updated </w:t>
      </w:r>
      <w:r w:rsidR="002B422A">
        <w:t>easily and cheaply. Other dissemination and training costs are charged to the end user to cover the cost of those activities with a small profit accrued sufficient to cover the costs of updating.</w:t>
      </w:r>
      <w:r w:rsidR="00511572">
        <w:t xml:space="preserve"> This creates long-term sustainability</w:t>
      </w:r>
      <w:r w:rsidR="00470438">
        <w:t>.</w:t>
      </w:r>
      <w:r w:rsidR="00511572">
        <w:t xml:space="preserve"> </w:t>
      </w:r>
    </w:p>
    <w:p w:rsidR="002B422A" w:rsidRDefault="002B422A" w:rsidP="002B422A">
      <w:pPr>
        <w:pStyle w:val="Heading3"/>
      </w:pPr>
      <w:r>
        <w:t>Hosting, dissemination and training</w:t>
      </w:r>
    </w:p>
    <w:p w:rsidR="002B422A" w:rsidRDefault="002B422A" w:rsidP="002B422A">
      <w:pPr>
        <w:pStyle w:val="BodyText"/>
      </w:pPr>
      <w:r>
        <w:t xml:space="preserve">As previously stated, a preferred method of dissemination is via the web. The advantage of this is the lower cost of publication and updating. With material that will be used widely across the country and by many different organisations it is useful to have a single source of truth that can easily be accessed and kept up to date. </w:t>
      </w:r>
    </w:p>
    <w:p w:rsidR="00470438" w:rsidRDefault="002B422A" w:rsidP="008B5768">
      <w:pPr>
        <w:pStyle w:val="BodyText"/>
      </w:pPr>
      <w:r>
        <w:t>Running seminars around the country can be a good way of raising the awareness of the guidance. This can be augmented by webinars and oth</w:t>
      </w:r>
      <w:r w:rsidR="008124AF">
        <w:t>er online support to assist users in gaining the maximum benefit from the guidance. In addition, training is required to ensure that guidance material is used correctly and behavioural change is embedded in the sector. This training could be online or face-to-face and could be delivered via such organisation as NAMS or, indeed, fed back into undergraduate and postgraduate programmes as appropriate.</w:t>
      </w:r>
    </w:p>
    <w:p w:rsidR="00B17AF7" w:rsidRDefault="005119ED" w:rsidP="00B17AF7">
      <w:pPr>
        <w:pStyle w:val="Heading2"/>
      </w:pPr>
      <w:r>
        <w:t>Next steps</w:t>
      </w:r>
    </w:p>
    <w:p w:rsidR="008E5A89" w:rsidRDefault="004529F6" w:rsidP="004529F6">
      <w:pPr>
        <w:pStyle w:val="BodyText"/>
      </w:pPr>
      <w:r>
        <w:t>It is proposed to call a meeting of the aforementioned Tier 1</w:t>
      </w:r>
      <w:r w:rsidR="00B86616">
        <w:t xml:space="preserve"> and 2</w:t>
      </w:r>
      <w:r>
        <w:t xml:space="preserve"> organisation</w:t>
      </w:r>
      <w:r w:rsidR="00B86616">
        <w:t>s</w:t>
      </w:r>
      <w:r>
        <w:t xml:space="preserve"> to begin the process of creating a lead</w:t>
      </w:r>
      <w:r w:rsidR="008E5A89">
        <w:t>ership and governance structure as well as a road map for developing the tools and guidance documents laid out in Appendix B. This would involve:</w:t>
      </w:r>
    </w:p>
    <w:p w:rsidR="008E5A89" w:rsidRDefault="008E5A89" w:rsidP="008E5A89">
      <w:pPr>
        <w:pStyle w:val="ListBullet"/>
      </w:pPr>
      <w:r>
        <w:t>Preparing a more detailed business case</w:t>
      </w:r>
    </w:p>
    <w:p w:rsidR="008E5A89" w:rsidRDefault="008E5A89" w:rsidP="008E5A89">
      <w:pPr>
        <w:pStyle w:val="ListBullet"/>
      </w:pPr>
      <w:r>
        <w:t>Developing briefs for each tool and guidance</w:t>
      </w:r>
    </w:p>
    <w:p w:rsidR="008E5A89" w:rsidRDefault="008E5A89" w:rsidP="008E5A89">
      <w:pPr>
        <w:pStyle w:val="ListBullet"/>
      </w:pPr>
      <w:r>
        <w:t>Assessing the appropriateness of documents and other material currently available</w:t>
      </w:r>
    </w:p>
    <w:p w:rsidR="008E5A89" w:rsidRDefault="008E5A89" w:rsidP="008E5A89">
      <w:pPr>
        <w:pStyle w:val="ListBullet"/>
      </w:pPr>
      <w:r>
        <w:t>Developing priorities and timeline for implementation</w:t>
      </w:r>
    </w:p>
    <w:p w:rsidR="008E5A89" w:rsidRDefault="008E5A89" w:rsidP="004529F6">
      <w:pPr>
        <w:pStyle w:val="ListBullet"/>
      </w:pPr>
      <w:r>
        <w:t>Estimating budgets and determining available funding streams.</w:t>
      </w:r>
      <w:r w:rsidR="004529F6">
        <w:t xml:space="preserve"> </w:t>
      </w:r>
    </w:p>
    <w:p w:rsidR="00662918" w:rsidRDefault="008E5A89" w:rsidP="00662918">
      <w:pPr>
        <w:pStyle w:val="BodyText"/>
      </w:pPr>
      <w:r>
        <w:t>The Quake Centre is offering its se</w:t>
      </w:r>
      <w:r w:rsidR="00F54898">
        <w:t>rvices as the programme manager</w:t>
      </w:r>
      <w:r>
        <w:t xml:space="preserve">. We would seek support from </w:t>
      </w:r>
      <w:r w:rsidRPr="008134B7">
        <w:t>practitioners, engineering consultants and academics where appropriate.</w:t>
      </w:r>
      <w:r w:rsidR="00662918">
        <w:t xml:space="preserve"> It is expected that the implemented roadmap could be finalised by mid-2016 and the first tools and guidance documents be completed by the end 2016.</w:t>
      </w:r>
    </w:p>
    <w:p w:rsidR="008E5A89" w:rsidRDefault="008E5A89" w:rsidP="008E5A89">
      <w:pPr>
        <w:pStyle w:val="BodyText"/>
      </w:pPr>
    </w:p>
    <w:p w:rsidR="008E5A89" w:rsidRDefault="008E5A89" w:rsidP="008E5A89">
      <w:pPr>
        <w:pStyle w:val="BodyText"/>
      </w:pPr>
    </w:p>
    <w:p w:rsidR="007A3671" w:rsidRDefault="007A3671">
      <w:pPr>
        <w:spacing w:after="200" w:line="0" w:lineRule="auto"/>
        <w:rPr>
          <w:rFonts w:ascii="Calibri" w:eastAsia="Arial" w:hAnsi="Calibri" w:cs="Arial"/>
          <w:b/>
          <w:bCs/>
          <w:iCs/>
          <w:color w:val="323232"/>
          <w:sz w:val="32"/>
          <w:szCs w:val="28"/>
          <w:lang w:val="en-NZ"/>
        </w:rPr>
      </w:pPr>
      <w:r>
        <w:br w:type="page"/>
      </w:r>
    </w:p>
    <w:p w:rsidR="00B17AF7" w:rsidRDefault="00B17AF7" w:rsidP="00B17AF7">
      <w:pPr>
        <w:pStyle w:val="Heading2"/>
      </w:pPr>
      <w:r>
        <w:lastRenderedPageBreak/>
        <w:t>Appendix A: Framework for Pipe Renewals Guidance</w:t>
      </w:r>
    </w:p>
    <w:p w:rsidR="00B17AF7" w:rsidRDefault="00B17AF7" w:rsidP="00B17AF7">
      <w:pPr>
        <w:pStyle w:val="BodyText"/>
      </w:pPr>
      <w:r>
        <w:t>The following was the output of a workshop hosted by the Quake Centre at the University of Canterbury on Tuesday 2 February 2016</w:t>
      </w:r>
      <w:r w:rsidR="007A3671">
        <w:t xml:space="preserve"> to explore the need for and scope of a guidance document relating to the renewal of New Zealand’s 3 water buried infrastructure</w:t>
      </w:r>
      <w:r>
        <w:t>. The workshop identified 10 themes. These themes created a framework for the creation o</w:t>
      </w:r>
      <w:r w:rsidR="005B555B">
        <w:t xml:space="preserve">f guidance material which contextualised the asset management and renewals guidance </w:t>
      </w:r>
      <w:r w:rsidR="00BC2411">
        <w:t>and decision</w:t>
      </w:r>
      <w:r w:rsidR="005B555B">
        <w:t xml:space="preserve"> tools set out in the International Infrastructure Management Manual 2015 Edition for use within the New Zealand 3 Waters Industry.</w:t>
      </w:r>
    </w:p>
    <w:p w:rsidR="005B555B" w:rsidRDefault="005B555B" w:rsidP="005B555B">
      <w:pPr>
        <w:pStyle w:val="Heading3"/>
      </w:pPr>
      <w:r>
        <w:t>Framework themes</w:t>
      </w:r>
    </w:p>
    <w:p w:rsidR="005B555B" w:rsidRDefault="005B555B" w:rsidP="005B555B">
      <w:pPr>
        <w:pStyle w:val="BodyText"/>
      </w:pPr>
      <w:r>
        <w:t>The 10 themes comprised:</w:t>
      </w:r>
    </w:p>
    <w:p w:rsidR="005B555B" w:rsidRDefault="00BC2411" w:rsidP="005B555B">
      <w:pPr>
        <w:pStyle w:val="ListBullet"/>
      </w:pPr>
      <w:r>
        <w:t>Strategy and Planning for Capacity and Growth</w:t>
      </w:r>
      <w:r w:rsidR="007A3671">
        <w:t xml:space="preserve"> (both positive and negative)</w:t>
      </w:r>
    </w:p>
    <w:p w:rsidR="00BC2411" w:rsidRDefault="00BC2411" w:rsidP="005B555B">
      <w:pPr>
        <w:pStyle w:val="ListBullet"/>
      </w:pPr>
      <w:r>
        <w:t>Levels of Service, Risk and Resilience</w:t>
      </w:r>
    </w:p>
    <w:p w:rsidR="00BC2411" w:rsidRDefault="00BC2411" w:rsidP="005B555B">
      <w:pPr>
        <w:pStyle w:val="ListBullet"/>
      </w:pPr>
      <w:r>
        <w:t>Pipe Criticality</w:t>
      </w:r>
    </w:p>
    <w:p w:rsidR="00BC2411" w:rsidRDefault="00BC2411" w:rsidP="005B555B">
      <w:pPr>
        <w:pStyle w:val="ListBullet"/>
      </w:pPr>
      <w:r>
        <w:t>Pipe Vulnerability</w:t>
      </w:r>
    </w:p>
    <w:p w:rsidR="00BC2411" w:rsidRDefault="00BC2411" w:rsidP="005B555B">
      <w:pPr>
        <w:pStyle w:val="ListBullet"/>
      </w:pPr>
      <w:r>
        <w:t>Pipe Inspection and Condition</w:t>
      </w:r>
    </w:p>
    <w:p w:rsidR="00BC2411" w:rsidRDefault="00BC2411" w:rsidP="005B555B">
      <w:pPr>
        <w:pStyle w:val="ListBullet"/>
      </w:pPr>
      <w:r>
        <w:t>Forecasting Remaining Pipe Life</w:t>
      </w:r>
    </w:p>
    <w:p w:rsidR="00BC2411" w:rsidRDefault="00BC2411" w:rsidP="005B555B">
      <w:pPr>
        <w:pStyle w:val="ListBullet"/>
      </w:pPr>
      <w:r>
        <w:t>Business Processes</w:t>
      </w:r>
    </w:p>
    <w:p w:rsidR="00BC2411" w:rsidRDefault="00BC2411" w:rsidP="005B555B">
      <w:pPr>
        <w:pStyle w:val="ListBullet"/>
      </w:pPr>
      <w:r>
        <w:t>Data management</w:t>
      </w:r>
    </w:p>
    <w:p w:rsidR="00BC2411" w:rsidRDefault="00BC2411" w:rsidP="005B555B">
      <w:pPr>
        <w:pStyle w:val="ListBullet"/>
      </w:pPr>
      <w:r>
        <w:t>Building Standards and Constructability</w:t>
      </w:r>
    </w:p>
    <w:p w:rsidR="00BC2411" w:rsidRDefault="00BC2411" w:rsidP="005B555B">
      <w:pPr>
        <w:pStyle w:val="ListBullet"/>
      </w:pPr>
      <w:r>
        <w:t>Life-cycle Cost of Pipes</w:t>
      </w:r>
    </w:p>
    <w:p w:rsidR="00D11E7E" w:rsidRDefault="00313EF1" w:rsidP="00D11E7E">
      <w:pPr>
        <w:pStyle w:val="BodyText"/>
      </w:pPr>
      <w:r>
        <w:t xml:space="preserve">It was recognised that underlying all the themes are the Metadata standards currently under development. </w:t>
      </w:r>
      <w:r w:rsidR="007A3671">
        <w:t>The standards will provide a consistent methodology for describing three waters assets and</w:t>
      </w:r>
      <w:r>
        <w:t xml:space="preserve"> are an essential underpinning for any national guidance framework.</w:t>
      </w:r>
    </w:p>
    <w:p w:rsidR="00313EF1" w:rsidRDefault="00313EF1" w:rsidP="00313EF1">
      <w:pPr>
        <w:pStyle w:val="Heading3"/>
      </w:pPr>
      <w:r>
        <w:t>Specific Guidance by Theme</w:t>
      </w:r>
    </w:p>
    <w:p w:rsidR="00313EF1" w:rsidRDefault="004F4D89" w:rsidP="00313EF1">
      <w:pPr>
        <w:pStyle w:val="BodyText"/>
      </w:pPr>
      <w:r>
        <w:t>Within each theme a number of specific guidance modules were identified.</w:t>
      </w:r>
    </w:p>
    <w:tbl>
      <w:tblPr>
        <w:tblStyle w:val="TableGrid"/>
        <w:tblW w:w="0" w:type="auto"/>
        <w:tblLook w:val="04A0" w:firstRow="1" w:lastRow="0" w:firstColumn="1" w:lastColumn="0" w:noHBand="0" w:noVBand="1"/>
      </w:tblPr>
      <w:tblGrid>
        <w:gridCol w:w="1615"/>
        <w:gridCol w:w="7514"/>
      </w:tblGrid>
      <w:tr w:rsidR="004F4D89" w:rsidTr="007A3671">
        <w:trPr>
          <w:cnfStyle w:val="100000000000" w:firstRow="1" w:lastRow="0" w:firstColumn="0" w:lastColumn="0" w:oddVBand="0" w:evenVBand="0" w:oddHBand="0" w:evenHBand="0" w:firstRowFirstColumn="0" w:firstRowLastColumn="0" w:lastRowFirstColumn="0" w:lastRowLastColumn="0"/>
        </w:trPr>
        <w:tc>
          <w:tcPr>
            <w:tcW w:w="1615" w:type="dxa"/>
          </w:tcPr>
          <w:p w:rsidR="004F4D89" w:rsidRPr="004F4D89" w:rsidRDefault="004F4D89" w:rsidP="00313EF1">
            <w:pPr>
              <w:pStyle w:val="BodyText"/>
              <w:rPr>
                <w:b/>
              </w:rPr>
            </w:pPr>
            <w:r w:rsidRPr="004F4D89">
              <w:rPr>
                <w:b/>
              </w:rPr>
              <w:t>Theme</w:t>
            </w:r>
          </w:p>
        </w:tc>
        <w:tc>
          <w:tcPr>
            <w:tcW w:w="7514" w:type="dxa"/>
          </w:tcPr>
          <w:p w:rsidR="004F4D89" w:rsidRPr="00EF5345" w:rsidRDefault="004F4D89" w:rsidP="00313EF1">
            <w:pPr>
              <w:pStyle w:val="BodyText"/>
            </w:pPr>
            <w:r w:rsidRPr="00EF5345">
              <w:t>Strategy and Planning for Capacity and Growth</w:t>
            </w:r>
          </w:p>
        </w:tc>
      </w:tr>
      <w:tr w:rsidR="004F4D89" w:rsidTr="007A3671">
        <w:tc>
          <w:tcPr>
            <w:tcW w:w="1615" w:type="dxa"/>
          </w:tcPr>
          <w:p w:rsidR="004F4D89" w:rsidRPr="004F4D89" w:rsidRDefault="007A3671" w:rsidP="00313EF1">
            <w:pPr>
              <w:pStyle w:val="BodyText"/>
              <w:rPr>
                <w:b/>
              </w:rPr>
            </w:pPr>
            <w:r>
              <w:rPr>
                <w:b/>
              </w:rPr>
              <w:t>Scope</w:t>
            </w:r>
          </w:p>
        </w:tc>
        <w:tc>
          <w:tcPr>
            <w:tcW w:w="7514" w:type="dxa"/>
          </w:tcPr>
          <w:p w:rsidR="004F4D89" w:rsidRDefault="004F4D89" w:rsidP="004F4D89">
            <w:pPr>
              <w:pStyle w:val="BodyText"/>
            </w:pPr>
            <w:r>
              <w:t>Current pipe utilisation</w:t>
            </w:r>
          </w:p>
          <w:p w:rsidR="004F4D89" w:rsidRDefault="004F4D89" w:rsidP="004F4D89">
            <w:pPr>
              <w:pStyle w:val="BodyText"/>
            </w:pPr>
            <w:r>
              <w:t>Spatial planning</w:t>
            </w:r>
          </w:p>
          <w:p w:rsidR="004F4D89" w:rsidRDefault="004F4D89" w:rsidP="004F4D89">
            <w:pPr>
              <w:pStyle w:val="BodyText"/>
            </w:pPr>
            <w:r>
              <w:t>Interdependencies and coordination with other utilities</w:t>
            </w:r>
          </w:p>
          <w:p w:rsidR="004F4D89" w:rsidRDefault="004F4D89" w:rsidP="004F4D89">
            <w:pPr>
              <w:pStyle w:val="BodyText"/>
            </w:pPr>
            <w:r>
              <w:t>Environmental standards</w:t>
            </w:r>
          </w:p>
          <w:p w:rsidR="004F4D89" w:rsidRDefault="004F4D89" w:rsidP="004F4D89">
            <w:pPr>
              <w:pStyle w:val="BodyText"/>
            </w:pPr>
            <w:r>
              <w:t>Understanding the ownership</w:t>
            </w:r>
            <w:r w:rsidR="00EF5345">
              <w:t xml:space="preserve"> implications of laterals and inherited systems</w:t>
            </w:r>
          </w:p>
          <w:p w:rsidR="002A5A3B" w:rsidRDefault="002A5A3B" w:rsidP="004F4D89">
            <w:pPr>
              <w:pStyle w:val="BodyText"/>
            </w:pPr>
            <w:r>
              <w:t>Impacts of negative growth</w:t>
            </w:r>
          </w:p>
        </w:tc>
      </w:tr>
    </w:tbl>
    <w:p w:rsidR="007423B9" w:rsidRDefault="007423B9" w:rsidP="00313EF1">
      <w:pPr>
        <w:pStyle w:val="BodyText"/>
      </w:pPr>
    </w:p>
    <w:p w:rsidR="007A3671" w:rsidRDefault="007A3671" w:rsidP="00313EF1">
      <w:pPr>
        <w:pStyle w:val="BodyText"/>
      </w:pPr>
    </w:p>
    <w:p w:rsidR="007423B9" w:rsidRDefault="007423B9">
      <w:pPr>
        <w:spacing w:after="200" w:line="0" w:lineRule="auto"/>
        <w:rPr>
          <w:rFonts w:asciiTheme="minorHAnsi" w:eastAsia="Times New Roman" w:hAnsiTheme="minorHAnsi" w:cs="Arial"/>
          <w:color w:val="000000" w:themeColor="text1"/>
          <w:sz w:val="24"/>
          <w:szCs w:val="19"/>
          <w:lang w:val="en-NZ"/>
        </w:rPr>
      </w:pPr>
    </w:p>
    <w:tbl>
      <w:tblPr>
        <w:tblStyle w:val="TableGrid"/>
        <w:tblW w:w="0" w:type="auto"/>
        <w:tblLook w:val="04A0" w:firstRow="1" w:lastRow="0" w:firstColumn="1" w:lastColumn="0" w:noHBand="0" w:noVBand="1"/>
      </w:tblPr>
      <w:tblGrid>
        <w:gridCol w:w="1615"/>
        <w:gridCol w:w="7514"/>
      </w:tblGrid>
      <w:tr w:rsidR="00EF5345" w:rsidTr="007A3671">
        <w:trPr>
          <w:cnfStyle w:val="100000000000" w:firstRow="1" w:lastRow="0" w:firstColumn="0" w:lastColumn="0" w:oddVBand="0" w:evenVBand="0" w:oddHBand="0" w:evenHBand="0" w:firstRowFirstColumn="0" w:firstRowLastColumn="0" w:lastRowFirstColumn="0" w:lastRowLastColumn="0"/>
        </w:trPr>
        <w:tc>
          <w:tcPr>
            <w:tcW w:w="1615" w:type="dxa"/>
          </w:tcPr>
          <w:p w:rsidR="00EF5345" w:rsidRPr="004F4D89" w:rsidRDefault="00EF5345" w:rsidP="00D85983">
            <w:pPr>
              <w:pStyle w:val="BodyText"/>
              <w:rPr>
                <w:b/>
              </w:rPr>
            </w:pPr>
            <w:r w:rsidRPr="004F4D89">
              <w:rPr>
                <w:b/>
              </w:rPr>
              <w:lastRenderedPageBreak/>
              <w:t>Theme</w:t>
            </w:r>
          </w:p>
        </w:tc>
        <w:tc>
          <w:tcPr>
            <w:tcW w:w="7514" w:type="dxa"/>
          </w:tcPr>
          <w:p w:rsidR="00EF5345" w:rsidRPr="00EF5345" w:rsidRDefault="00EF5345" w:rsidP="00EF5345">
            <w:pPr>
              <w:pStyle w:val="BodyText"/>
              <w:rPr>
                <w:lang w:eastAsia="en-GB"/>
              </w:rPr>
            </w:pPr>
            <w:r w:rsidRPr="00EF5345">
              <w:rPr>
                <w:lang w:eastAsia="en-GB"/>
              </w:rPr>
              <w:t>Levels of Service, Risk and Resilience</w:t>
            </w:r>
          </w:p>
        </w:tc>
      </w:tr>
      <w:tr w:rsidR="00EF5345" w:rsidTr="007A3671">
        <w:tc>
          <w:tcPr>
            <w:tcW w:w="1615" w:type="dxa"/>
          </w:tcPr>
          <w:p w:rsidR="00EF5345" w:rsidRPr="004F4D89" w:rsidRDefault="007A3671" w:rsidP="00D85983">
            <w:pPr>
              <w:pStyle w:val="BodyText"/>
              <w:rPr>
                <w:b/>
              </w:rPr>
            </w:pPr>
            <w:r>
              <w:rPr>
                <w:b/>
              </w:rPr>
              <w:t>Scope</w:t>
            </w:r>
          </w:p>
        </w:tc>
        <w:tc>
          <w:tcPr>
            <w:tcW w:w="7514" w:type="dxa"/>
          </w:tcPr>
          <w:p w:rsidR="00EF5345" w:rsidRDefault="007423B9" w:rsidP="00D85983">
            <w:pPr>
              <w:pStyle w:val="BodyText"/>
            </w:pPr>
            <w:r>
              <w:t>Level of Service Definitions and applications</w:t>
            </w:r>
          </w:p>
          <w:p w:rsidR="007423B9" w:rsidRDefault="007423B9" w:rsidP="00D85983">
            <w:pPr>
              <w:pStyle w:val="BodyText"/>
            </w:pPr>
            <w:r>
              <w:t xml:space="preserve">Application of </w:t>
            </w:r>
            <w:r w:rsidRPr="007423B9">
              <w:t>AS/NZS ISO 31000:2009</w:t>
            </w:r>
            <w:r>
              <w:t xml:space="preserve"> in the context of 3 Waters at suitable scale and in the context of extreme events </w:t>
            </w:r>
          </w:p>
        </w:tc>
      </w:tr>
    </w:tbl>
    <w:p w:rsidR="00D11E7E" w:rsidRDefault="00D11E7E" w:rsidP="00D11E7E">
      <w:pPr>
        <w:pStyle w:val="BodyText"/>
      </w:pPr>
    </w:p>
    <w:tbl>
      <w:tblPr>
        <w:tblStyle w:val="TableGrid"/>
        <w:tblW w:w="0" w:type="auto"/>
        <w:tblLook w:val="04A0" w:firstRow="1" w:lastRow="0" w:firstColumn="1" w:lastColumn="0" w:noHBand="0" w:noVBand="1"/>
      </w:tblPr>
      <w:tblGrid>
        <w:gridCol w:w="1615"/>
        <w:gridCol w:w="7514"/>
      </w:tblGrid>
      <w:tr w:rsidR="00EF5345" w:rsidTr="007A3671">
        <w:trPr>
          <w:cnfStyle w:val="100000000000" w:firstRow="1" w:lastRow="0" w:firstColumn="0" w:lastColumn="0" w:oddVBand="0" w:evenVBand="0" w:oddHBand="0" w:evenHBand="0" w:firstRowFirstColumn="0" w:firstRowLastColumn="0" w:lastRowFirstColumn="0" w:lastRowLastColumn="0"/>
        </w:trPr>
        <w:tc>
          <w:tcPr>
            <w:tcW w:w="1615" w:type="dxa"/>
          </w:tcPr>
          <w:p w:rsidR="00EF5345" w:rsidRPr="004F4D89" w:rsidRDefault="00EF5345" w:rsidP="00D85983">
            <w:pPr>
              <w:pStyle w:val="BodyText"/>
              <w:rPr>
                <w:b/>
              </w:rPr>
            </w:pPr>
            <w:r w:rsidRPr="004F4D89">
              <w:rPr>
                <w:b/>
              </w:rPr>
              <w:t>Theme</w:t>
            </w:r>
          </w:p>
        </w:tc>
        <w:tc>
          <w:tcPr>
            <w:tcW w:w="7514" w:type="dxa"/>
          </w:tcPr>
          <w:p w:rsidR="00EF5345" w:rsidRPr="007423B9" w:rsidRDefault="00EF5345" w:rsidP="00EF5345">
            <w:pPr>
              <w:pStyle w:val="BodyText"/>
              <w:rPr>
                <w:lang w:eastAsia="en-GB"/>
              </w:rPr>
            </w:pPr>
            <w:r w:rsidRPr="00EF5345">
              <w:rPr>
                <w:lang w:eastAsia="en-GB"/>
              </w:rPr>
              <w:t>Pipe Criticality</w:t>
            </w:r>
          </w:p>
        </w:tc>
      </w:tr>
      <w:tr w:rsidR="00EF5345" w:rsidTr="007A3671">
        <w:tc>
          <w:tcPr>
            <w:tcW w:w="1615" w:type="dxa"/>
          </w:tcPr>
          <w:p w:rsidR="00EF5345" w:rsidRPr="004F4D89" w:rsidRDefault="007A3671" w:rsidP="00D85983">
            <w:pPr>
              <w:pStyle w:val="BodyText"/>
              <w:rPr>
                <w:b/>
              </w:rPr>
            </w:pPr>
            <w:r>
              <w:rPr>
                <w:b/>
              </w:rPr>
              <w:t>Scope</w:t>
            </w:r>
          </w:p>
        </w:tc>
        <w:tc>
          <w:tcPr>
            <w:tcW w:w="7514" w:type="dxa"/>
          </w:tcPr>
          <w:p w:rsidR="00EF5345" w:rsidRDefault="007423B9" w:rsidP="00D85983">
            <w:pPr>
              <w:pStyle w:val="BodyText"/>
            </w:pPr>
            <w:r>
              <w:t xml:space="preserve">Creation of a common framework for assessing pipe </w:t>
            </w:r>
            <w:r w:rsidR="00030286">
              <w:t>criticality</w:t>
            </w:r>
          </w:p>
        </w:tc>
      </w:tr>
    </w:tbl>
    <w:p w:rsidR="00EF5345" w:rsidRDefault="00EF5345" w:rsidP="00D11E7E">
      <w:pPr>
        <w:pStyle w:val="BodyText"/>
      </w:pPr>
    </w:p>
    <w:tbl>
      <w:tblPr>
        <w:tblStyle w:val="TableGrid"/>
        <w:tblW w:w="0" w:type="auto"/>
        <w:tblLook w:val="04A0" w:firstRow="1" w:lastRow="0" w:firstColumn="1" w:lastColumn="0" w:noHBand="0" w:noVBand="1"/>
      </w:tblPr>
      <w:tblGrid>
        <w:gridCol w:w="1615"/>
        <w:gridCol w:w="7514"/>
      </w:tblGrid>
      <w:tr w:rsidR="00EF5345" w:rsidTr="007A3671">
        <w:trPr>
          <w:cnfStyle w:val="100000000000" w:firstRow="1" w:lastRow="0" w:firstColumn="0" w:lastColumn="0" w:oddVBand="0" w:evenVBand="0" w:oddHBand="0" w:evenHBand="0" w:firstRowFirstColumn="0" w:firstRowLastColumn="0" w:lastRowFirstColumn="0" w:lastRowLastColumn="0"/>
        </w:trPr>
        <w:tc>
          <w:tcPr>
            <w:tcW w:w="1615" w:type="dxa"/>
          </w:tcPr>
          <w:p w:rsidR="00EF5345" w:rsidRPr="004F4D89" w:rsidRDefault="00EF5345" w:rsidP="00D85983">
            <w:pPr>
              <w:pStyle w:val="BodyText"/>
              <w:rPr>
                <w:b/>
              </w:rPr>
            </w:pPr>
            <w:r w:rsidRPr="004F4D89">
              <w:rPr>
                <w:b/>
              </w:rPr>
              <w:t>Theme</w:t>
            </w:r>
          </w:p>
        </w:tc>
        <w:tc>
          <w:tcPr>
            <w:tcW w:w="7514" w:type="dxa"/>
          </w:tcPr>
          <w:p w:rsidR="00EF5345" w:rsidRPr="007423B9" w:rsidRDefault="00EF5345" w:rsidP="007423B9">
            <w:pPr>
              <w:pStyle w:val="BodyText"/>
              <w:rPr>
                <w:lang w:eastAsia="en-GB"/>
              </w:rPr>
            </w:pPr>
            <w:r w:rsidRPr="00EF5345">
              <w:rPr>
                <w:lang w:eastAsia="en-GB"/>
              </w:rPr>
              <w:t>Pipe Vulnerability</w:t>
            </w:r>
            <w:r w:rsidR="003D0D34">
              <w:rPr>
                <w:lang w:eastAsia="en-GB"/>
              </w:rPr>
              <w:t xml:space="preserve"> and Likelihood of Failure</w:t>
            </w:r>
          </w:p>
        </w:tc>
      </w:tr>
      <w:tr w:rsidR="00EF5345" w:rsidTr="007A3671">
        <w:tc>
          <w:tcPr>
            <w:tcW w:w="1615" w:type="dxa"/>
          </w:tcPr>
          <w:p w:rsidR="00EF5345" w:rsidRPr="004F4D89" w:rsidRDefault="007A3671" w:rsidP="00D85983">
            <w:pPr>
              <w:pStyle w:val="BodyText"/>
              <w:rPr>
                <w:b/>
              </w:rPr>
            </w:pPr>
            <w:r>
              <w:rPr>
                <w:b/>
              </w:rPr>
              <w:t>Scope</w:t>
            </w:r>
          </w:p>
        </w:tc>
        <w:tc>
          <w:tcPr>
            <w:tcW w:w="7514" w:type="dxa"/>
          </w:tcPr>
          <w:p w:rsidR="00EF5345" w:rsidRDefault="003D0D34" w:rsidP="007423B9">
            <w:pPr>
              <w:pStyle w:val="BodyText"/>
            </w:pPr>
            <w:r>
              <w:t>Understanding Hazard</w:t>
            </w:r>
            <w:r w:rsidR="007F7409">
              <w:t>s</w:t>
            </w:r>
          </w:p>
          <w:p w:rsidR="003D0D34" w:rsidRDefault="003D0D34" w:rsidP="007423B9">
            <w:pPr>
              <w:pStyle w:val="BodyText"/>
            </w:pPr>
            <w:r>
              <w:t>Failure modes in pipes and creation of a failure database</w:t>
            </w:r>
          </w:p>
          <w:p w:rsidR="003D0D34" w:rsidRDefault="003D0D34" w:rsidP="007423B9">
            <w:pPr>
              <w:pStyle w:val="BodyText"/>
            </w:pPr>
            <w:r>
              <w:t>Quality assurance</w:t>
            </w:r>
          </w:p>
          <w:p w:rsidR="003D0D34" w:rsidRDefault="003D0D34" w:rsidP="007423B9">
            <w:pPr>
              <w:pStyle w:val="BodyText"/>
            </w:pPr>
            <w:r>
              <w:t>Standard useful life</w:t>
            </w:r>
          </w:p>
        </w:tc>
      </w:tr>
    </w:tbl>
    <w:p w:rsidR="00EF5345" w:rsidRDefault="00EF5345" w:rsidP="00D11E7E">
      <w:pPr>
        <w:pStyle w:val="BodyText"/>
      </w:pPr>
    </w:p>
    <w:tbl>
      <w:tblPr>
        <w:tblStyle w:val="TableGrid"/>
        <w:tblW w:w="0" w:type="auto"/>
        <w:tblLook w:val="04A0" w:firstRow="1" w:lastRow="0" w:firstColumn="1" w:lastColumn="0" w:noHBand="0" w:noVBand="1"/>
      </w:tblPr>
      <w:tblGrid>
        <w:gridCol w:w="1615"/>
        <w:gridCol w:w="7514"/>
      </w:tblGrid>
      <w:tr w:rsidR="00EF5345" w:rsidTr="007A3671">
        <w:trPr>
          <w:cnfStyle w:val="100000000000" w:firstRow="1" w:lastRow="0" w:firstColumn="0" w:lastColumn="0" w:oddVBand="0" w:evenVBand="0" w:oddHBand="0" w:evenHBand="0" w:firstRowFirstColumn="0" w:firstRowLastColumn="0" w:lastRowFirstColumn="0" w:lastRowLastColumn="0"/>
        </w:trPr>
        <w:tc>
          <w:tcPr>
            <w:tcW w:w="1615" w:type="dxa"/>
          </w:tcPr>
          <w:p w:rsidR="00EF5345" w:rsidRPr="004F4D89" w:rsidRDefault="00EF5345" w:rsidP="00D85983">
            <w:pPr>
              <w:pStyle w:val="BodyText"/>
              <w:rPr>
                <w:b/>
              </w:rPr>
            </w:pPr>
            <w:r w:rsidRPr="004F4D89">
              <w:rPr>
                <w:b/>
              </w:rPr>
              <w:t>Theme</w:t>
            </w:r>
          </w:p>
        </w:tc>
        <w:tc>
          <w:tcPr>
            <w:tcW w:w="7514" w:type="dxa"/>
          </w:tcPr>
          <w:p w:rsidR="00EF5345" w:rsidRPr="001B1E4E" w:rsidRDefault="00EF5345" w:rsidP="00EF5345">
            <w:pPr>
              <w:pStyle w:val="BodyText"/>
              <w:rPr>
                <w:lang w:eastAsia="en-GB"/>
              </w:rPr>
            </w:pPr>
            <w:r w:rsidRPr="00EF5345">
              <w:rPr>
                <w:lang w:eastAsia="en-GB"/>
              </w:rPr>
              <w:t>Pipe Inspection and Condition</w:t>
            </w:r>
          </w:p>
        </w:tc>
      </w:tr>
      <w:tr w:rsidR="00EF5345" w:rsidTr="007A3671">
        <w:tc>
          <w:tcPr>
            <w:tcW w:w="1615" w:type="dxa"/>
          </w:tcPr>
          <w:p w:rsidR="00EF5345" w:rsidRPr="004F4D89" w:rsidRDefault="007A3671" w:rsidP="00D85983">
            <w:pPr>
              <w:pStyle w:val="BodyText"/>
              <w:rPr>
                <w:b/>
              </w:rPr>
            </w:pPr>
            <w:r>
              <w:rPr>
                <w:b/>
              </w:rPr>
              <w:t>Scope</w:t>
            </w:r>
          </w:p>
        </w:tc>
        <w:tc>
          <w:tcPr>
            <w:tcW w:w="7514" w:type="dxa"/>
          </w:tcPr>
          <w:p w:rsidR="00EF5345" w:rsidRDefault="007F7409" w:rsidP="00D85983">
            <w:pPr>
              <w:pStyle w:val="BodyText"/>
            </w:pPr>
            <w:r>
              <w:rPr>
                <w:i/>
              </w:rPr>
              <w:t>Pipe Inspection M</w:t>
            </w:r>
            <w:r w:rsidR="001B1E4E" w:rsidRPr="007F7409">
              <w:rPr>
                <w:i/>
              </w:rPr>
              <w:t>anual</w:t>
            </w:r>
            <w:r>
              <w:t xml:space="preserve"> update and extension </w:t>
            </w:r>
            <w:r w:rsidR="001B1E4E">
              <w:t>to pressurised pipelines</w:t>
            </w:r>
          </w:p>
          <w:p w:rsidR="00D40C77" w:rsidRDefault="00D40C77" w:rsidP="00D85983">
            <w:pPr>
              <w:pStyle w:val="BodyText"/>
            </w:pPr>
            <w:r>
              <w:t>Pros, cons, comparisons and calibration of new technologies</w:t>
            </w:r>
          </w:p>
          <w:p w:rsidR="00D40C77" w:rsidRDefault="00D40C77" w:rsidP="00D40C77">
            <w:pPr>
              <w:pStyle w:val="BodyText"/>
            </w:pPr>
            <w:r>
              <w:t>Sampling rates and currency of pipe inspection in relation to criticality and knowledge of condition</w:t>
            </w:r>
          </w:p>
          <w:p w:rsidR="00D40C77" w:rsidRDefault="00D40C77" w:rsidP="00D40C77">
            <w:pPr>
              <w:pStyle w:val="BodyText"/>
            </w:pPr>
            <w:r>
              <w:t>Guidance on assumed condition</w:t>
            </w:r>
          </w:p>
          <w:p w:rsidR="00D40C77" w:rsidRDefault="00D40C77" w:rsidP="00D40C77">
            <w:pPr>
              <w:pStyle w:val="BodyText"/>
            </w:pPr>
            <w:r>
              <w:t>Contractor guidance on fault recording</w:t>
            </w:r>
          </w:p>
        </w:tc>
      </w:tr>
    </w:tbl>
    <w:p w:rsidR="00EF5345" w:rsidRDefault="00EF5345" w:rsidP="00D11E7E">
      <w:pPr>
        <w:pStyle w:val="BodyText"/>
      </w:pPr>
    </w:p>
    <w:tbl>
      <w:tblPr>
        <w:tblStyle w:val="TableGrid"/>
        <w:tblW w:w="0" w:type="auto"/>
        <w:tblLook w:val="04A0" w:firstRow="1" w:lastRow="0" w:firstColumn="1" w:lastColumn="0" w:noHBand="0" w:noVBand="1"/>
      </w:tblPr>
      <w:tblGrid>
        <w:gridCol w:w="1615"/>
        <w:gridCol w:w="7514"/>
      </w:tblGrid>
      <w:tr w:rsidR="00EF5345" w:rsidTr="007F7409">
        <w:trPr>
          <w:cnfStyle w:val="100000000000" w:firstRow="1" w:lastRow="0" w:firstColumn="0" w:lastColumn="0" w:oddVBand="0" w:evenVBand="0" w:oddHBand="0" w:evenHBand="0" w:firstRowFirstColumn="0" w:firstRowLastColumn="0" w:lastRowFirstColumn="0" w:lastRowLastColumn="0"/>
        </w:trPr>
        <w:tc>
          <w:tcPr>
            <w:tcW w:w="1615" w:type="dxa"/>
          </w:tcPr>
          <w:p w:rsidR="00EF5345" w:rsidRPr="004F4D89" w:rsidRDefault="00EF5345" w:rsidP="00D85983">
            <w:pPr>
              <w:pStyle w:val="BodyText"/>
              <w:rPr>
                <w:b/>
              </w:rPr>
            </w:pPr>
            <w:r w:rsidRPr="004F4D89">
              <w:rPr>
                <w:b/>
              </w:rPr>
              <w:t>Theme</w:t>
            </w:r>
          </w:p>
        </w:tc>
        <w:tc>
          <w:tcPr>
            <w:tcW w:w="7514" w:type="dxa"/>
          </w:tcPr>
          <w:p w:rsidR="00EF5345" w:rsidRPr="00D40C77" w:rsidRDefault="00EF5345" w:rsidP="00D40C77">
            <w:pPr>
              <w:pStyle w:val="BodyText"/>
              <w:rPr>
                <w:lang w:eastAsia="en-GB"/>
              </w:rPr>
            </w:pPr>
            <w:r w:rsidRPr="00EF5345">
              <w:rPr>
                <w:lang w:eastAsia="en-GB"/>
              </w:rPr>
              <w:t>Forecasting Remaining Pipe Life</w:t>
            </w:r>
          </w:p>
        </w:tc>
      </w:tr>
      <w:tr w:rsidR="00EF5345" w:rsidTr="007F7409">
        <w:tc>
          <w:tcPr>
            <w:tcW w:w="1615" w:type="dxa"/>
          </w:tcPr>
          <w:p w:rsidR="00EF5345" w:rsidRPr="004F4D89" w:rsidRDefault="007A3671" w:rsidP="00D85983">
            <w:pPr>
              <w:pStyle w:val="BodyText"/>
              <w:rPr>
                <w:b/>
              </w:rPr>
            </w:pPr>
            <w:r>
              <w:rPr>
                <w:b/>
              </w:rPr>
              <w:t>Scope</w:t>
            </w:r>
          </w:p>
        </w:tc>
        <w:tc>
          <w:tcPr>
            <w:tcW w:w="7514" w:type="dxa"/>
          </w:tcPr>
          <w:p w:rsidR="00EF5345" w:rsidRDefault="003D011B" w:rsidP="003D011B">
            <w:pPr>
              <w:pStyle w:val="BodyText"/>
            </w:pPr>
            <w:r>
              <w:t xml:space="preserve">Development of </w:t>
            </w:r>
            <w:r w:rsidR="00030286">
              <w:t>repair and maintenance versus time</w:t>
            </w:r>
            <w:r>
              <w:t xml:space="preserve"> </w:t>
            </w:r>
            <w:r w:rsidR="002A5A3B">
              <w:t xml:space="preserve">and asset deterioration </w:t>
            </w:r>
            <w:r>
              <w:t>curves</w:t>
            </w:r>
          </w:p>
          <w:p w:rsidR="00944D9E" w:rsidRDefault="00944D9E" w:rsidP="003D011B">
            <w:pPr>
              <w:pStyle w:val="BodyText"/>
            </w:pPr>
            <w:r>
              <w:t>Guidance on forecasting for generic renewals and critical pipelines</w:t>
            </w:r>
          </w:p>
        </w:tc>
      </w:tr>
    </w:tbl>
    <w:p w:rsidR="00944D9E" w:rsidRDefault="00944D9E" w:rsidP="00D11E7E">
      <w:pPr>
        <w:pStyle w:val="BodyText"/>
      </w:pPr>
    </w:p>
    <w:p w:rsidR="00944D9E" w:rsidRDefault="00944D9E">
      <w:pPr>
        <w:spacing w:after="200" w:line="0" w:lineRule="auto"/>
        <w:rPr>
          <w:rFonts w:asciiTheme="minorHAnsi" w:eastAsia="Times New Roman" w:hAnsiTheme="minorHAnsi" w:cs="Arial"/>
          <w:color w:val="000000" w:themeColor="text1"/>
          <w:sz w:val="24"/>
          <w:szCs w:val="19"/>
          <w:lang w:val="en-NZ"/>
        </w:rPr>
      </w:pPr>
      <w:r>
        <w:br w:type="page"/>
      </w:r>
    </w:p>
    <w:tbl>
      <w:tblPr>
        <w:tblStyle w:val="TableGrid"/>
        <w:tblW w:w="0" w:type="auto"/>
        <w:tblLook w:val="04A0" w:firstRow="1" w:lastRow="0" w:firstColumn="1" w:lastColumn="0" w:noHBand="0" w:noVBand="1"/>
      </w:tblPr>
      <w:tblGrid>
        <w:gridCol w:w="1615"/>
        <w:gridCol w:w="7514"/>
      </w:tblGrid>
      <w:tr w:rsidR="00EF5345" w:rsidTr="007F7409">
        <w:trPr>
          <w:cnfStyle w:val="100000000000" w:firstRow="1" w:lastRow="0" w:firstColumn="0" w:lastColumn="0" w:oddVBand="0" w:evenVBand="0" w:oddHBand="0" w:evenHBand="0" w:firstRowFirstColumn="0" w:firstRowLastColumn="0" w:lastRowFirstColumn="0" w:lastRowLastColumn="0"/>
        </w:trPr>
        <w:tc>
          <w:tcPr>
            <w:tcW w:w="1615" w:type="dxa"/>
          </w:tcPr>
          <w:p w:rsidR="00EF5345" w:rsidRPr="004F4D89" w:rsidRDefault="00EF5345" w:rsidP="00D85983">
            <w:pPr>
              <w:pStyle w:val="BodyText"/>
              <w:rPr>
                <w:b/>
              </w:rPr>
            </w:pPr>
            <w:r w:rsidRPr="004F4D89">
              <w:rPr>
                <w:b/>
              </w:rPr>
              <w:lastRenderedPageBreak/>
              <w:t>Theme</w:t>
            </w:r>
          </w:p>
        </w:tc>
        <w:tc>
          <w:tcPr>
            <w:tcW w:w="7514" w:type="dxa"/>
          </w:tcPr>
          <w:p w:rsidR="00EF5345" w:rsidRPr="00944D9E" w:rsidRDefault="00EF5345" w:rsidP="00EF5345">
            <w:pPr>
              <w:pStyle w:val="BodyText"/>
              <w:rPr>
                <w:lang w:eastAsia="en-GB"/>
              </w:rPr>
            </w:pPr>
            <w:r w:rsidRPr="00EF5345">
              <w:rPr>
                <w:lang w:eastAsia="en-GB"/>
              </w:rPr>
              <w:t>Business Processes</w:t>
            </w:r>
          </w:p>
        </w:tc>
      </w:tr>
      <w:tr w:rsidR="00EF5345" w:rsidTr="007F7409">
        <w:tc>
          <w:tcPr>
            <w:tcW w:w="1615" w:type="dxa"/>
          </w:tcPr>
          <w:p w:rsidR="00EF5345" w:rsidRPr="004F4D89" w:rsidRDefault="007F7409" w:rsidP="00D85983">
            <w:pPr>
              <w:pStyle w:val="BodyText"/>
              <w:rPr>
                <w:b/>
              </w:rPr>
            </w:pPr>
            <w:r>
              <w:rPr>
                <w:b/>
              </w:rPr>
              <w:t>Scope</w:t>
            </w:r>
          </w:p>
        </w:tc>
        <w:tc>
          <w:tcPr>
            <w:tcW w:w="7514" w:type="dxa"/>
          </w:tcPr>
          <w:p w:rsidR="00EF5345" w:rsidRDefault="00944D9E" w:rsidP="00D85983">
            <w:pPr>
              <w:pStyle w:val="BodyText"/>
            </w:pPr>
            <w:r>
              <w:t>Better business case in the 3 Waters context</w:t>
            </w:r>
          </w:p>
          <w:p w:rsidR="00944D9E" w:rsidRDefault="00944D9E" w:rsidP="00D85983">
            <w:pPr>
              <w:pStyle w:val="BodyText"/>
            </w:pPr>
            <w:r>
              <w:t>Appropriate allocation of risks</w:t>
            </w:r>
          </w:p>
          <w:p w:rsidR="00944D9E" w:rsidRDefault="00944D9E" w:rsidP="00D85983">
            <w:pPr>
              <w:pStyle w:val="BodyText"/>
            </w:pPr>
            <w:r>
              <w:t xml:space="preserve">Procurement standards for water </w:t>
            </w:r>
          </w:p>
          <w:p w:rsidR="00944D9E" w:rsidRDefault="00944D9E" w:rsidP="00D85983">
            <w:pPr>
              <w:pStyle w:val="BodyText"/>
            </w:pPr>
            <w:r>
              <w:t>Whole of life cost modelling</w:t>
            </w:r>
          </w:p>
          <w:p w:rsidR="00944D9E" w:rsidRDefault="00030286" w:rsidP="00D85983">
            <w:pPr>
              <w:pStyle w:val="BodyText"/>
            </w:pPr>
            <w:r>
              <w:t>Asset inheritance iss</w:t>
            </w:r>
            <w:r w:rsidR="00944D9E">
              <w:t>ues</w:t>
            </w:r>
          </w:p>
        </w:tc>
      </w:tr>
    </w:tbl>
    <w:p w:rsidR="00EF5345" w:rsidRDefault="00EF5345" w:rsidP="00D11E7E">
      <w:pPr>
        <w:pStyle w:val="BodyText"/>
      </w:pPr>
    </w:p>
    <w:tbl>
      <w:tblPr>
        <w:tblStyle w:val="TableGrid"/>
        <w:tblW w:w="0" w:type="auto"/>
        <w:tblLook w:val="04A0" w:firstRow="1" w:lastRow="0" w:firstColumn="1" w:lastColumn="0" w:noHBand="0" w:noVBand="1"/>
      </w:tblPr>
      <w:tblGrid>
        <w:gridCol w:w="1615"/>
        <w:gridCol w:w="7514"/>
      </w:tblGrid>
      <w:tr w:rsidR="00EF5345" w:rsidTr="007F7409">
        <w:trPr>
          <w:cnfStyle w:val="100000000000" w:firstRow="1" w:lastRow="0" w:firstColumn="0" w:lastColumn="0" w:oddVBand="0" w:evenVBand="0" w:oddHBand="0" w:evenHBand="0" w:firstRowFirstColumn="0" w:firstRowLastColumn="0" w:lastRowFirstColumn="0" w:lastRowLastColumn="0"/>
        </w:trPr>
        <w:tc>
          <w:tcPr>
            <w:tcW w:w="1615" w:type="dxa"/>
          </w:tcPr>
          <w:p w:rsidR="00EF5345" w:rsidRPr="004F4D89" w:rsidRDefault="00EF5345" w:rsidP="00D85983">
            <w:pPr>
              <w:pStyle w:val="BodyText"/>
              <w:rPr>
                <w:b/>
              </w:rPr>
            </w:pPr>
            <w:r w:rsidRPr="004F4D89">
              <w:rPr>
                <w:b/>
              </w:rPr>
              <w:t>Theme</w:t>
            </w:r>
          </w:p>
        </w:tc>
        <w:tc>
          <w:tcPr>
            <w:tcW w:w="7514" w:type="dxa"/>
          </w:tcPr>
          <w:p w:rsidR="00EF5345" w:rsidRPr="00030286" w:rsidRDefault="00EF5345" w:rsidP="00EF5345">
            <w:pPr>
              <w:pStyle w:val="BodyText"/>
              <w:rPr>
                <w:lang w:eastAsia="en-GB"/>
              </w:rPr>
            </w:pPr>
            <w:r w:rsidRPr="00EF5345">
              <w:rPr>
                <w:lang w:eastAsia="en-GB"/>
              </w:rPr>
              <w:t>Data management</w:t>
            </w:r>
          </w:p>
        </w:tc>
      </w:tr>
      <w:tr w:rsidR="00EF5345" w:rsidTr="007F7409">
        <w:tc>
          <w:tcPr>
            <w:tcW w:w="1615" w:type="dxa"/>
          </w:tcPr>
          <w:p w:rsidR="00EF5345" w:rsidRPr="004F4D89" w:rsidRDefault="007F7409" w:rsidP="00D85983">
            <w:pPr>
              <w:pStyle w:val="BodyText"/>
              <w:rPr>
                <w:b/>
              </w:rPr>
            </w:pPr>
            <w:r>
              <w:rPr>
                <w:b/>
              </w:rPr>
              <w:t>Scope</w:t>
            </w:r>
          </w:p>
        </w:tc>
        <w:tc>
          <w:tcPr>
            <w:tcW w:w="7514" w:type="dxa"/>
          </w:tcPr>
          <w:p w:rsidR="00EF5345" w:rsidRDefault="00030286" w:rsidP="00D85983">
            <w:pPr>
              <w:pStyle w:val="BodyText"/>
            </w:pPr>
            <w:r>
              <w:t>Implementation of metadata standards</w:t>
            </w:r>
          </w:p>
          <w:p w:rsidR="00030286" w:rsidRDefault="00030286" w:rsidP="00D85983">
            <w:pPr>
              <w:pStyle w:val="BodyText"/>
            </w:pPr>
            <w:r>
              <w:t>Data collection, storage and analysis</w:t>
            </w:r>
          </w:p>
        </w:tc>
      </w:tr>
    </w:tbl>
    <w:p w:rsidR="00EF5345" w:rsidRDefault="00EF5345" w:rsidP="00D11E7E">
      <w:pPr>
        <w:pStyle w:val="BodyText"/>
      </w:pPr>
    </w:p>
    <w:tbl>
      <w:tblPr>
        <w:tblStyle w:val="TableGrid"/>
        <w:tblW w:w="0" w:type="auto"/>
        <w:tblLook w:val="04A0" w:firstRow="1" w:lastRow="0" w:firstColumn="1" w:lastColumn="0" w:noHBand="0" w:noVBand="1"/>
      </w:tblPr>
      <w:tblGrid>
        <w:gridCol w:w="1615"/>
        <w:gridCol w:w="7514"/>
      </w:tblGrid>
      <w:tr w:rsidR="00EF5345" w:rsidTr="007F7409">
        <w:trPr>
          <w:cnfStyle w:val="100000000000" w:firstRow="1" w:lastRow="0" w:firstColumn="0" w:lastColumn="0" w:oddVBand="0" w:evenVBand="0" w:oddHBand="0" w:evenHBand="0" w:firstRowFirstColumn="0" w:firstRowLastColumn="0" w:lastRowFirstColumn="0" w:lastRowLastColumn="0"/>
        </w:trPr>
        <w:tc>
          <w:tcPr>
            <w:tcW w:w="1615" w:type="dxa"/>
          </w:tcPr>
          <w:p w:rsidR="00EF5345" w:rsidRPr="004F4D89" w:rsidRDefault="00EF5345" w:rsidP="00D85983">
            <w:pPr>
              <w:pStyle w:val="BodyText"/>
              <w:rPr>
                <w:b/>
              </w:rPr>
            </w:pPr>
            <w:r w:rsidRPr="004F4D89">
              <w:rPr>
                <w:b/>
              </w:rPr>
              <w:t>Theme</w:t>
            </w:r>
          </w:p>
        </w:tc>
        <w:tc>
          <w:tcPr>
            <w:tcW w:w="7514" w:type="dxa"/>
          </w:tcPr>
          <w:p w:rsidR="00EF5345" w:rsidRPr="00030286" w:rsidRDefault="00EF5345" w:rsidP="00EF5345">
            <w:pPr>
              <w:pStyle w:val="BodyText"/>
              <w:rPr>
                <w:lang w:eastAsia="en-GB"/>
              </w:rPr>
            </w:pPr>
            <w:r w:rsidRPr="00EF5345">
              <w:rPr>
                <w:lang w:eastAsia="en-GB"/>
              </w:rPr>
              <w:t>Building Standards and Constructability</w:t>
            </w:r>
          </w:p>
        </w:tc>
      </w:tr>
      <w:tr w:rsidR="00EF5345" w:rsidTr="007F7409">
        <w:tc>
          <w:tcPr>
            <w:tcW w:w="1615" w:type="dxa"/>
          </w:tcPr>
          <w:p w:rsidR="00EF5345" w:rsidRPr="004F4D89" w:rsidRDefault="007F7409" w:rsidP="00D85983">
            <w:pPr>
              <w:pStyle w:val="BodyText"/>
              <w:rPr>
                <w:b/>
              </w:rPr>
            </w:pPr>
            <w:r>
              <w:rPr>
                <w:b/>
              </w:rPr>
              <w:t>Scope</w:t>
            </w:r>
          </w:p>
        </w:tc>
        <w:tc>
          <w:tcPr>
            <w:tcW w:w="7514" w:type="dxa"/>
          </w:tcPr>
          <w:p w:rsidR="00EF5345" w:rsidRDefault="00030286" w:rsidP="00D85983">
            <w:pPr>
              <w:pStyle w:val="BodyText"/>
            </w:pPr>
            <w:r>
              <w:t>Standardisation of specifications</w:t>
            </w:r>
          </w:p>
          <w:p w:rsidR="00030286" w:rsidRDefault="00030286" w:rsidP="00D85983">
            <w:pPr>
              <w:pStyle w:val="BodyText"/>
            </w:pPr>
            <w:r>
              <w:t>Trenchless technologies</w:t>
            </w:r>
          </w:p>
          <w:p w:rsidR="00030286" w:rsidRDefault="00030286" w:rsidP="00D85983">
            <w:pPr>
              <w:pStyle w:val="BodyText"/>
            </w:pPr>
            <w:r>
              <w:t>Introduction of innovative methods and materials.</w:t>
            </w:r>
          </w:p>
        </w:tc>
      </w:tr>
    </w:tbl>
    <w:p w:rsidR="00EF5345" w:rsidRDefault="00EF5345" w:rsidP="00D11E7E">
      <w:pPr>
        <w:pStyle w:val="BodyText"/>
      </w:pPr>
    </w:p>
    <w:tbl>
      <w:tblPr>
        <w:tblStyle w:val="TableGrid"/>
        <w:tblW w:w="0" w:type="auto"/>
        <w:tblLook w:val="04A0" w:firstRow="1" w:lastRow="0" w:firstColumn="1" w:lastColumn="0" w:noHBand="0" w:noVBand="1"/>
      </w:tblPr>
      <w:tblGrid>
        <w:gridCol w:w="1615"/>
        <w:gridCol w:w="7514"/>
      </w:tblGrid>
      <w:tr w:rsidR="00EF5345" w:rsidTr="007F7409">
        <w:trPr>
          <w:cnfStyle w:val="100000000000" w:firstRow="1" w:lastRow="0" w:firstColumn="0" w:lastColumn="0" w:oddVBand="0" w:evenVBand="0" w:oddHBand="0" w:evenHBand="0" w:firstRowFirstColumn="0" w:firstRowLastColumn="0" w:lastRowFirstColumn="0" w:lastRowLastColumn="0"/>
        </w:trPr>
        <w:tc>
          <w:tcPr>
            <w:tcW w:w="1615" w:type="dxa"/>
          </w:tcPr>
          <w:p w:rsidR="00EF5345" w:rsidRPr="004F4D89" w:rsidRDefault="00EF5345" w:rsidP="00D85983">
            <w:pPr>
              <w:pStyle w:val="BodyText"/>
              <w:rPr>
                <w:b/>
              </w:rPr>
            </w:pPr>
            <w:r w:rsidRPr="004F4D89">
              <w:rPr>
                <w:b/>
              </w:rPr>
              <w:t>Theme</w:t>
            </w:r>
          </w:p>
        </w:tc>
        <w:tc>
          <w:tcPr>
            <w:tcW w:w="7514" w:type="dxa"/>
          </w:tcPr>
          <w:p w:rsidR="00EF5345" w:rsidRPr="00030286" w:rsidRDefault="00EF5345" w:rsidP="00030286">
            <w:pPr>
              <w:pStyle w:val="BodyText"/>
            </w:pPr>
            <w:r w:rsidRPr="00030286">
              <w:t>Life-cycle Cost of Pipes</w:t>
            </w:r>
          </w:p>
        </w:tc>
      </w:tr>
      <w:tr w:rsidR="00EF5345" w:rsidTr="007F7409">
        <w:tc>
          <w:tcPr>
            <w:tcW w:w="1615" w:type="dxa"/>
          </w:tcPr>
          <w:p w:rsidR="00EF5345" w:rsidRPr="004F4D89" w:rsidRDefault="007F7409" w:rsidP="00D85983">
            <w:pPr>
              <w:pStyle w:val="BodyText"/>
              <w:rPr>
                <w:b/>
              </w:rPr>
            </w:pPr>
            <w:r>
              <w:rPr>
                <w:b/>
              </w:rPr>
              <w:t>Scope</w:t>
            </w:r>
          </w:p>
        </w:tc>
        <w:tc>
          <w:tcPr>
            <w:tcW w:w="7514" w:type="dxa"/>
          </w:tcPr>
          <w:p w:rsidR="00EF5345" w:rsidRDefault="00030286" w:rsidP="00D85983">
            <w:pPr>
              <w:pStyle w:val="BodyText"/>
            </w:pPr>
            <w:r>
              <w:t>Pipe performance – physical</w:t>
            </w:r>
          </w:p>
          <w:p w:rsidR="00030286" w:rsidRDefault="00030286" w:rsidP="00D85983">
            <w:pPr>
              <w:pStyle w:val="BodyText"/>
            </w:pPr>
            <w:r>
              <w:t>Pipe financial performance</w:t>
            </w:r>
          </w:p>
          <w:p w:rsidR="00030286" w:rsidRDefault="00030286" w:rsidP="00D85983">
            <w:pPr>
              <w:pStyle w:val="BodyText"/>
            </w:pPr>
            <w:r>
              <w:t xml:space="preserve">Pipe </w:t>
            </w:r>
            <w:proofErr w:type="spellStart"/>
            <w:r>
              <w:t>LoS</w:t>
            </w:r>
            <w:proofErr w:type="spellEnd"/>
            <w:r>
              <w:t xml:space="preserve"> performance</w:t>
            </w:r>
          </w:p>
        </w:tc>
      </w:tr>
    </w:tbl>
    <w:p w:rsidR="00EF5345" w:rsidRDefault="00EF5345" w:rsidP="00D11E7E">
      <w:pPr>
        <w:pStyle w:val="BodyText"/>
      </w:pPr>
    </w:p>
    <w:p w:rsidR="002A5A3B" w:rsidRDefault="002A5A3B" w:rsidP="00D11E7E">
      <w:pPr>
        <w:pStyle w:val="BodyText"/>
      </w:pPr>
      <w:r>
        <w:t xml:space="preserve">Other areas identified as requiring coordination or further </w:t>
      </w:r>
      <w:proofErr w:type="gramStart"/>
      <w:r>
        <w:t>research are</w:t>
      </w:r>
      <w:proofErr w:type="gramEnd"/>
      <w:r>
        <w:t>:</w:t>
      </w:r>
    </w:p>
    <w:p w:rsidR="002A5A3B" w:rsidRDefault="002A5A3B" w:rsidP="002A5A3B">
      <w:pPr>
        <w:pStyle w:val="ListBullet"/>
      </w:pPr>
      <w:r>
        <w:t>Creation of a NZ Pipe database</w:t>
      </w:r>
    </w:p>
    <w:p w:rsidR="002A5A3B" w:rsidRDefault="002A5A3B" w:rsidP="002A5A3B">
      <w:pPr>
        <w:pStyle w:val="ListBullet"/>
      </w:pPr>
      <w:r>
        <w:t>Research on pipe condition as a function of time from the extensive data collection</w:t>
      </w:r>
      <w:r w:rsidR="007F7409">
        <w:t xml:space="preserve">s of SCIRT, </w:t>
      </w:r>
      <w:r>
        <w:t>CCC and international data</w:t>
      </w:r>
      <w:r w:rsidR="007F7409">
        <w:t xml:space="preserve"> sources</w:t>
      </w:r>
    </w:p>
    <w:p w:rsidR="002A5A3B" w:rsidRDefault="002A5A3B" w:rsidP="002A5A3B">
      <w:pPr>
        <w:pStyle w:val="ListBullet"/>
      </w:pPr>
      <w:r>
        <w:t>Value of data archives as a source of information for future planning</w:t>
      </w:r>
      <w:r w:rsidR="00935CCF">
        <w:br/>
      </w:r>
    </w:p>
    <w:p w:rsidR="00B86616" w:rsidRDefault="00935CCF">
      <w:pPr>
        <w:spacing w:after="200" w:line="0" w:lineRule="auto"/>
        <w:rPr>
          <w:rFonts w:ascii="Calibri" w:eastAsia="Arial" w:hAnsi="Calibri" w:cs="Arial"/>
          <w:b/>
          <w:bCs/>
          <w:iCs/>
          <w:color w:val="323232"/>
          <w:sz w:val="32"/>
          <w:szCs w:val="28"/>
          <w:lang w:val="en-NZ"/>
        </w:rPr>
      </w:pPr>
      <w:r>
        <w:br w:type="page"/>
      </w:r>
    </w:p>
    <w:p w:rsidR="00935CCF" w:rsidRDefault="00050705" w:rsidP="00935CCF">
      <w:pPr>
        <w:pStyle w:val="Heading2"/>
      </w:pPr>
      <w:r>
        <w:lastRenderedPageBreak/>
        <w:t>Appendix B</w:t>
      </w:r>
      <w:r w:rsidR="00935CCF">
        <w:t>: Workshop participants</w:t>
      </w:r>
    </w:p>
    <w:p w:rsidR="00935CCF" w:rsidRDefault="00935CCF" w:rsidP="00935CCF">
      <w:pPr>
        <w:pStyle w:val="BodyText"/>
      </w:pPr>
      <w:r>
        <w:t>The following people attended the workshop on 2 February 2016:</w:t>
      </w:r>
    </w:p>
    <w:p w:rsidR="00935CCF" w:rsidRDefault="00935CCF" w:rsidP="00935CCF">
      <w:pPr>
        <w:pStyle w:val="ListBullet"/>
        <w:numPr>
          <w:ilvl w:val="0"/>
          <w:numId w:val="1"/>
        </w:numPr>
      </w:pPr>
      <w:r>
        <w:t>Philip McFarlane , Opus</w:t>
      </w:r>
    </w:p>
    <w:p w:rsidR="00935CCF" w:rsidRDefault="00935CCF" w:rsidP="00935CCF">
      <w:pPr>
        <w:pStyle w:val="ListBullet"/>
        <w:numPr>
          <w:ilvl w:val="0"/>
          <w:numId w:val="1"/>
        </w:numPr>
      </w:pPr>
      <w:proofErr w:type="spellStart"/>
      <w:r>
        <w:t>Dukessa</w:t>
      </w:r>
      <w:proofErr w:type="spellEnd"/>
      <w:r>
        <w:t xml:space="preserve"> Blackburn-</w:t>
      </w:r>
      <w:proofErr w:type="spellStart"/>
      <w:r>
        <w:t>H</w:t>
      </w:r>
      <w:r w:rsidRPr="00AC5312">
        <w:t>uettner</w:t>
      </w:r>
      <w:proofErr w:type="spellEnd"/>
      <w:r>
        <w:t>, Auckland Council</w:t>
      </w:r>
    </w:p>
    <w:p w:rsidR="00935CCF" w:rsidRDefault="00935CCF" w:rsidP="00935CCF">
      <w:pPr>
        <w:pStyle w:val="ListBullet"/>
        <w:numPr>
          <w:ilvl w:val="0"/>
          <w:numId w:val="1"/>
        </w:numPr>
      </w:pPr>
      <w:r>
        <w:t xml:space="preserve">Arnold </w:t>
      </w:r>
      <w:proofErr w:type="spellStart"/>
      <w:r>
        <w:t>Louw</w:t>
      </w:r>
      <w:proofErr w:type="spellEnd"/>
      <w:r>
        <w:t>,  Fletcher Infrastructure</w:t>
      </w:r>
    </w:p>
    <w:p w:rsidR="00935CCF" w:rsidRDefault="00935CCF" w:rsidP="00935CCF">
      <w:pPr>
        <w:pStyle w:val="ListBullet"/>
        <w:numPr>
          <w:ilvl w:val="0"/>
          <w:numId w:val="1"/>
        </w:numPr>
      </w:pPr>
      <w:r>
        <w:t xml:space="preserve">Cherie </w:t>
      </w:r>
      <w:proofErr w:type="spellStart"/>
      <w:r>
        <w:t>Leckner</w:t>
      </w:r>
      <w:proofErr w:type="spellEnd"/>
      <w:r>
        <w:t>, Fulton Hogan</w:t>
      </w:r>
    </w:p>
    <w:p w:rsidR="00935CCF" w:rsidRDefault="00935CCF" w:rsidP="00935CCF">
      <w:pPr>
        <w:pStyle w:val="ListBullet"/>
        <w:numPr>
          <w:ilvl w:val="0"/>
          <w:numId w:val="1"/>
        </w:numPr>
      </w:pPr>
      <w:r>
        <w:t>Haydn Read, Wellington City Council</w:t>
      </w:r>
    </w:p>
    <w:p w:rsidR="00935CCF" w:rsidRDefault="00935CCF" w:rsidP="00935CCF">
      <w:pPr>
        <w:pStyle w:val="ListBullet"/>
        <w:numPr>
          <w:ilvl w:val="0"/>
          <w:numId w:val="1"/>
        </w:numPr>
      </w:pPr>
      <w:r>
        <w:t>Peter Whitehouse, Water New Zealand</w:t>
      </w:r>
    </w:p>
    <w:p w:rsidR="00935CCF" w:rsidRDefault="00935CCF" w:rsidP="00935CCF">
      <w:pPr>
        <w:pStyle w:val="ListBullet"/>
        <w:numPr>
          <w:ilvl w:val="0"/>
          <w:numId w:val="1"/>
        </w:numPr>
      </w:pPr>
      <w:r>
        <w:t>Tom Osborn, Dunedin City Council</w:t>
      </w:r>
    </w:p>
    <w:p w:rsidR="00935CCF" w:rsidRDefault="00935CCF" w:rsidP="00935CCF">
      <w:pPr>
        <w:pStyle w:val="ListBullet"/>
        <w:numPr>
          <w:ilvl w:val="0"/>
          <w:numId w:val="1"/>
        </w:numPr>
      </w:pPr>
      <w:r>
        <w:t xml:space="preserve">Braden Austen, </w:t>
      </w:r>
      <w:r w:rsidR="000F615C">
        <w:t xml:space="preserve">Palmerston </w:t>
      </w:r>
      <w:r>
        <w:t>North City Council</w:t>
      </w:r>
    </w:p>
    <w:p w:rsidR="00935CCF" w:rsidRDefault="00935CCF" w:rsidP="00935CCF">
      <w:pPr>
        <w:pStyle w:val="ListBullet"/>
        <w:numPr>
          <w:ilvl w:val="0"/>
          <w:numId w:val="1"/>
        </w:numPr>
      </w:pPr>
      <w:r>
        <w:t xml:space="preserve">Bruce </w:t>
      </w:r>
      <w:proofErr w:type="spellStart"/>
      <w:r>
        <w:t>Apperly</w:t>
      </w:r>
      <w:proofErr w:type="spellEnd"/>
      <w:r>
        <w:t>, CERA</w:t>
      </w:r>
    </w:p>
    <w:p w:rsidR="00935CCF" w:rsidRDefault="00935CCF" w:rsidP="00935CCF">
      <w:pPr>
        <w:pStyle w:val="ListBullet"/>
        <w:numPr>
          <w:ilvl w:val="0"/>
          <w:numId w:val="1"/>
        </w:numPr>
      </w:pPr>
      <w:proofErr w:type="spellStart"/>
      <w:r>
        <w:t>Geof</w:t>
      </w:r>
      <w:proofErr w:type="spellEnd"/>
      <w:r>
        <w:t xml:space="preserve"> Stewart, </w:t>
      </w:r>
      <w:proofErr w:type="spellStart"/>
      <w:r>
        <w:t>Watercare</w:t>
      </w:r>
      <w:proofErr w:type="spellEnd"/>
    </w:p>
    <w:p w:rsidR="00935CCF" w:rsidRDefault="00935CCF" w:rsidP="00935CCF">
      <w:pPr>
        <w:pStyle w:val="ListBullet"/>
        <w:numPr>
          <w:ilvl w:val="0"/>
          <w:numId w:val="1"/>
        </w:numPr>
      </w:pPr>
      <w:r>
        <w:t>Matthew Hughes, University of Canterbury</w:t>
      </w:r>
    </w:p>
    <w:p w:rsidR="00935CCF" w:rsidRDefault="00935CCF" w:rsidP="00935CCF">
      <w:pPr>
        <w:pStyle w:val="ListBullet"/>
        <w:numPr>
          <w:ilvl w:val="0"/>
          <w:numId w:val="1"/>
        </w:numPr>
      </w:pPr>
      <w:r>
        <w:t>Melanie Liu, University of Canterbury</w:t>
      </w:r>
    </w:p>
    <w:p w:rsidR="00935CCF" w:rsidRDefault="00935CCF" w:rsidP="00935CCF">
      <w:pPr>
        <w:pStyle w:val="ListBullet"/>
        <w:numPr>
          <w:ilvl w:val="0"/>
          <w:numId w:val="1"/>
        </w:numPr>
      </w:pPr>
      <w:r>
        <w:t xml:space="preserve">Mark </w:t>
      </w:r>
      <w:proofErr w:type="spellStart"/>
      <w:r>
        <w:t>Christison</w:t>
      </w:r>
      <w:proofErr w:type="spellEnd"/>
      <w:r>
        <w:t xml:space="preserve">, </w:t>
      </w:r>
      <w:proofErr w:type="spellStart"/>
      <w:r>
        <w:t>Beca</w:t>
      </w:r>
      <w:proofErr w:type="spellEnd"/>
    </w:p>
    <w:p w:rsidR="00935CCF" w:rsidRDefault="00935CCF" w:rsidP="00935CCF">
      <w:pPr>
        <w:pStyle w:val="ListBullet"/>
        <w:numPr>
          <w:ilvl w:val="0"/>
          <w:numId w:val="1"/>
        </w:numPr>
      </w:pPr>
      <w:r>
        <w:t xml:space="preserve">David Heiler, </w:t>
      </w:r>
      <w:proofErr w:type="spellStart"/>
      <w:r>
        <w:t>Beca</w:t>
      </w:r>
      <w:proofErr w:type="spellEnd"/>
    </w:p>
    <w:p w:rsidR="00935CCF" w:rsidRDefault="00935CCF" w:rsidP="00935CCF">
      <w:pPr>
        <w:pStyle w:val="ListBullet"/>
        <w:numPr>
          <w:ilvl w:val="0"/>
          <w:numId w:val="1"/>
        </w:numPr>
      </w:pPr>
      <w:r>
        <w:t>Dave Bain, SCIRT</w:t>
      </w:r>
    </w:p>
    <w:p w:rsidR="003141EB" w:rsidRDefault="003141EB" w:rsidP="00935CCF">
      <w:pPr>
        <w:pStyle w:val="ListBullet"/>
        <w:numPr>
          <w:ilvl w:val="0"/>
          <w:numId w:val="1"/>
        </w:numPr>
      </w:pPr>
      <w:r>
        <w:t>Richard Wesley, SCIRT</w:t>
      </w:r>
    </w:p>
    <w:p w:rsidR="00935CCF" w:rsidRDefault="00935CCF" w:rsidP="00935CCF">
      <w:pPr>
        <w:pStyle w:val="ListBullet"/>
        <w:numPr>
          <w:ilvl w:val="0"/>
          <w:numId w:val="1"/>
        </w:numPr>
      </w:pPr>
      <w:proofErr w:type="spellStart"/>
      <w:r>
        <w:t>Americo</w:t>
      </w:r>
      <w:proofErr w:type="spellEnd"/>
      <w:r>
        <w:t xml:space="preserve"> Dos Santos, </w:t>
      </w:r>
      <w:proofErr w:type="spellStart"/>
      <w:r>
        <w:t>Hynds</w:t>
      </w:r>
      <w:proofErr w:type="spellEnd"/>
      <w:r>
        <w:t xml:space="preserve"> Ltd</w:t>
      </w:r>
    </w:p>
    <w:p w:rsidR="00935CCF" w:rsidRDefault="00935CCF" w:rsidP="00935CCF">
      <w:pPr>
        <w:pStyle w:val="ListBullet"/>
        <w:numPr>
          <w:ilvl w:val="0"/>
          <w:numId w:val="1"/>
        </w:numPr>
      </w:pPr>
      <w:r>
        <w:t>Rob Blakemore, Wellington Water</w:t>
      </w:r>
    </w:p>
    <w:p w:rsidR="00935CCF" w:rsidRDefault="00935CCF" w:rsidP="00935CCF">
      <w:pPr>
        <w:pStyle w:val="ListBullet"/>
        <w:numPr>
          <w:ilvl w:val="0"/>
          <w:numId w:val="1"/>
        </w:numPr>
      </w:pPr>
      <w:r>
        <w:t xml:space="preserve">Paul </w:t>
      </w:r>
      <w:proofErr w:type="spellStart"/>
      <w:r>
        <w:t>Utting</w:t>
      </w:r>
      <w:proofErr w:type="spellEnd"/>
      <w:r>
        <w:t>, Project Max Ltd</w:t>
      </w:r>
    </w:p>
    <w:p w:rsidR="00935CCF" w:rsidRDefault="00935CCF" w:rsidP="00935CCF">
      <w:pPr>
        <w:pStyle w:val="ListBullet"/>
        <w:numPr>
          <w:ilvl w:val="0"/>
          <w:numId w:val="1"/>
        </w:numPr>
      </w:pPr>
      <w:r>
        <w:t xml:space="preserve">Assad </w:t>
      </w:r>
      <w:proofErr w:type="spellStart"/>
      <w:r>
        <w:t>Shamseldin</w:t>
      </w:r>
      <w:proofErr w:type="spellEnd"/>
      <w:r>
        <w:t>, University of Auckland</w:t>
      </w:r>
    </w:p>
    <w:p w:rsidR="00935CCF" w:rsidRDefault="00935CCF" w:rsidP="00935CCF">
      <w:pPr>
        <w:pStyle w:val="ListBullet"/>
        <w:numPr>
          <w:ilvl w:val="0"/>
          <w:numId w:val="1"/>
        </w:numPr>
      </w:pPr>
      <w:r>
        <w:t>Robert Finch, Quake Centre</w:t>
      </w:r>
    </w:p>
    <w:p w:rsidR="00935CCF" w:rsidRDefault="00935CCF" w:rsidP="00935CCF">
      <w:pPr>
        <w:pStyle w:val="ListBullet"/>
        <w:numPr>
          <w:ilvl w:val="0"/>
          <w:numId w:val="1"/>
        </w:numPr>
      </w:pPr>
      <w:proofErr w:type="spellStart"/>
      <w:r>
        <w:t>Kalley</w:t>
      </w:r>
      <w:proofErr w:type="spellEnd"/>
      <w:r>
        <w:t xml:space="preserve"> Simpson, </w:t>
      </w:r>
      <w:proofErr w:type="spellStart"/>
      <w:r>
        <w:t>Waimakariri</w:t>
      </w:r>
      <w:proofErr w:type="spellEnd"/>
      <w:r>
        <w:t xml:space="preserve"> District Council</w:t>
      </w:r>
    </w:p>
    <w:p w:rsidR="00935CCF" w:rsidRDefault="00935CCF" w:rsidP="00935CCF">
      <w:pPr>
        <w:pStyle w:val="ListBullet"/>
        <w:numPr>
          <w:ilvl w:val="0"/>
          <w:numId w:val="1"/>
        </w:numPr>
      </w:pPr>
      <w:r>
        <w:t>Roger Fairclough, Treasury</w:t>
      </w:r>
    </w:p>
    <w:p w:rsidR="00935CCF" w:rsidRPr="00AC5312" w:rsidRDefault="00935CCF" w:rsidP="00935CCF">
      <w:pPr>
        <w:pStyle w:val="BodyText"/>
      </w:pPr>
      <w:r>
        <w:t>Facilitator Greg Preston, Quake Centre</w:t>
      </w:r>
    </w:p>
    <w:p w:rsidR="00935CCF" w:rsidRPr="005B555B" w:rsidRDefault="00935CCF" w:rsidP="00935CCF">
      <w:pPr>
        <w:pStyle w:val="BodyText"/>
      </w:pPr>
    </w:p>
    <w:sectPr w:rsidR="00935CCF" w:rsidRPr="005B555B" w:rsidSect="00345497">
      <w:headerReference w:type="even" r:id="rId9"/>
      <w:headerReference w:type="default" r:id="rId10"/>
      <w:footerReference w:type="even" r:id="rId11"/>
      <w:footerReference w:type="default" r:id="rId12"/>
      <w:headerReference w:type="first" r:id="rId13"/>
      <w:footerReference w:type="first" r:id="rId14"/>
      <w:pgSz w:w="11906" w:h="16838"/>
      <w:pgMar w:top="1701" w:right="1440" w:bottom="1440" w:left="1440" w:header="709" w:footer="5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AF7" w:rsidRDefault="00B17AF7" w:rsidP="006B4A55">
      <w:pPr>
        <w:spacing w:after="0" w:line="240" w:lineRule="auto"/>
      </w:pPr>
      <w:r>
        <w:separator/>
      </w:r>
    </w:p>
  </w:endnote>
  <w:endnote w:type="continuationSeparator" w:id="0">
    <w:p w:rsidR="00B17AF7" w:rsidRDefault="00B17AF7" w:rsidP="006B4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2B9" w:rsidRDefault="00EB12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694467"/>
      <w:docPartObj>
        <w:docPartGallery w:val="Page Numbers (Bottom of Page)"/>
        <w:docPartUnique/>
      </w:docPartObj>
    </w:sdtPr>
    <w:sdtEndPr/>
    <w:sdtContent>
      <w:sdt>
        <w:sdtPr>
          <w:id w:val="-2109809548"/>
          <w:docPartObj>
            <w:docPartGallery w:val="Page Numbers (Top of Page)"/>
            <w:docPartUnique/>
          </w:docPartObj>
        </w:sdtPr>
        <w:sdtEndPr/>
        <w:sdtContent>
          <w:p w:rsidR="00035BD3" w:rsidRPr="00234F69" w:rsidRDefault="009E480B" w:rsidP="00234F69">
            <w:pPr>
              <w:pStyle w:val="Footer"/>
            </w:pPr>
            <w:r w:rsidRPr="00234F69">
              <w:rPr>
                <w:noProof/>
                <w:lang w:val="en-US"/>
              </w:rPr>
              <w:drawing>
                <wp:anchor distT="0" distB="0" distL="114300" distR="114300" simplePos="0" relativeHeight="251657216" behindDoc="1" locked="0" layoutInCell="1" allowOverlap="1" wp14:anchorId="01C69F7F" wp14:editId="3BE182E2">
                  <wp:simplePos x="0" y="0"/>
                  <wp:positionH relativeFrom="page">
                    <wp:posOffset>1417955</wp:posOffset>
                  </wp:positionH>
                  <wp:positionV relativeFrom="page">
                    <wp:posOffset>8053593</wp:posOffset>
                  </wp:positionV>
                  <wp:extent cx="6120130" cy="2611755"/>
                  <wp:effectExtent l="0" t="0" r="0" b="0"/>
                  <wp:wrapNone/>
                  <wp:docPr id="12" name="Picture 1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2611755"/>
                          </a:xfrm>
                          <a:prstGeom prst="rect">
                            <a:avLst/>
                          </a:prstGeom>
                          <a:noFill/>
                          <a:ln>
                            <a:noFill/>
                          </a:ln>
                          <a:effectLst/>
                        </pic:spPr>
                      </pic:pic>
                    </a:graphicData>
                  </a:graphic>
                </wp:anchor>
              </w:drawing>
            </w:r>
            <w:r w:rsidR="00467B6C">
              <w:rPr>
                <w:noProof/>
                <w:w w:val="100"/>
                <w:lang w:val="en-US"/>
              </w:rPr>
              <mc:AlternateContent>
                <mc:Choice Requires="wps">
                  <w:drawing>
                    <wp:anchor distT="0" distB="0" distL="114300" distR="114300" simplePos="0" relativeHeight="251659264" behindDoc="0" locked="0" layoutInCell="1" allowOverlap="1" wp14:anchorId="5566F756" wp14:editId="6A2B89E9">
                      <wp:simplePos x="0" y="0"/>
                      <wp:positionH relativeFrom="column">
                        <wp:posOffset>6057900</wp:posOffset>
                      </wp:positionH>
                      <wp:positionV relativeFrom="paragraph">
                        <wp:posOffset>-34290</wp:posOffset>
                      </wp:positionV>
                      <wp:extent cx="348615" cy="308610"/>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80B" w:rsidRPr="009E480B" w:rsidRDefault="0097333D" w:rsidP="009E480B">
                                  <w:pPr>
                                    <w:rPr>
                                      <w:rStyle w:val="PageNumber"/>
                                    </w:rPr>
                                  </w:pPr>
                                  <w:r w:rsidRPr="009E480B">
                                    <w:rPr>
                                      <w:rStyle w:val="PageNumber"/>
                                    </w:rPr>
                                    <w:fldChar w:fldCharType="begin"/>
                                  </w:r>
                                  <w:r w:rsidR="009E480B" w:rsidRPr="009E480B">
                                    <w:rPr>
                                      <w:rStyle w:val="PageNumber"/>
                                    </w:rPr>
                                    <w:instrText xml:space="preserve"> PAGE </w:instrText>
                                  </w:r>
                                  <w:r w:rsidRPr="009E480B">
                                    <w:rPr>
                                      <w:rStyle w:val="PageNumber"/>
                                    </w:rPr>
                                    <w:fldChar w:fldCharType="separate"/>
                                  </w:r>
                                  <w:r w:rsidR="00281B9B">
                                    <w:rPr>
                                      <w:rStyle w:val="PageNumber"/>
                                      <w:noProof/>
                                    </w:rPr>
                                    <w:t>7</w:t>
                                  </w:r>
                                  <w:r w:rsidRPr="009E480B">
                                    <w:rPr>
                                      <w:rStyle w:val="PageNumber"/>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477pt;margin-top:-2.7pt;width:27.45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KXztgIAALk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" filled="f" stroked="f">
                      <v:textbox>
                        <w:txbxContent>
                          <w:p w:rsidR="009E480B" w:rsidRPr="009E480B" w:rsidRDefault="0097333D" w:rsidP="009E480B">
                            <w:pPr>
                              <w:rPr>
                                <w:rStyle w:val="PageNumber"/>
                              </w:rPr>
                            </w:pPr>
                            <w:r w:rsidRPr="009E480B">
                              <w:rPr>
                                <w:rStyle w:val="PageNumber"/>
                              </w:rPr>
                              <w:fldChar w:fldCharType="begin"/>
                            </w:r>
                            <w:r w:rsidR="009E480B" w:rsidRPr="009E480B">
                              <w:rPr>
                                <w:rStyle w:val="PageNumber"/>
                              </w:rPr>
                              <w:instrText xml:space="preserve"> PAGE </w:instrText>
                            </w:r>
                            <w:r w:rsidRPr="009E480B">
                              <w:rPr>
                                <w:rStyle w:val="PageNumber"/>
                              </w:rPr>
                              <w:fldChar w:fldCharType="separate"/>
                            </w:r>
                            <w:r w:rsidR="00281B9B">
                              <w:rPr>
                                <w:rStyle w:val="PageNumber"/>
                                <w:noProof/>
                              </w:rPr>
                              <w:t>7</w:t>
                            </w:r>
                            <w:r w:rsidRPr="009E480B">
                              <w:rPr>
                                <w:rStyle w:val="PageNumber"/>
                              </w:rPr>
                              <w:fldChar w:fldCharType="end"/>
                            </w:r>
                          </w:p>
                        </w:txbxContent>
                      </v:textbox>
                    </v:shape>
                  </w:pict>
                </mc:Fallback>
              </mc:AlternateContent>
            </w:r>
            <w:r w:rsidR="00234F69" w:rsidRPr="00234F69">
              <w:tab/>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014760"/>
      <w:docPartObj>
        <w:docPartGallery w:val="Page Numbers (Bottom of Page)"/>
        <w:docPartUnique/>
      </w:docPartObj>
    </w:sdtPr>
    <w:sdtEndPr/>
    <w:sdtContent>
      <w:sdt>
        <w:sdtPr>
          <w:id w:val="-326833630"/>
          <w:docPartObj>
            <w:docPartGallery w:val="Page Numbers (Top of Page)"/>
            <w:docPartUnique/>
          </w:docPartObj>
        </w:sdtPr>
        <w:sdtEndPr/>
        <w:sdtContent>
          <w:p w:rsidR="002F5566" w:rsidRDefault="001B04FC" w:rsidP="001B04FC">
            <w:pPr>
              <w:pStyle w:val="Footer"/>
              <w:ind w:left="0"/>
              <w:jc w:val="center"/>
            </w:pPr>
            <w:r w:rsidRPr="00234F69">
              <w:rPr>
                <w:noProof/>
                <w:lang w:val="en-US"/>
              </w:rPr>
              <w:drawing>
                <wp:anchor distT="0" distB="0" distL="114300" distR="114300" simplePos="0" relativeHeight="251656192" behindDoc="1" locked="0" layoutInCell="1" allowOverlap="1" wp14:anchorId="29A245D4" wp14:editId="515DA584">
                  <wp:simplePos x="0" y="0"/>
                  <wp:positionH relativeFrom="page">
                    <wp:posOffset>4951095</wp:posOffset>
                  </wp:positionH>
                  <wp:positionV relativeFrom="page">
                    <wp:posOffset>8074025</wp:posOffset>
                  </wp:positionV>
                  <wp:extent cx="2591435" cy="2611755"/>
                  <wp:effectExtent l="0" t="0" r="0" b="0"/>
                  <wp:wrapNone/>
                  <wp:docPr id="18" name="Picture 18"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pic:cNvPicPr>
                        </pic:nvPicPr>
                        <pic:blipFill rotWithShape="1">
                          <a:blip r:embed="rId1">
                            <a:extLst>
                              <a:ext uri="{28A0092B-C50C-407E-A947-70E740481C1C}">
                                <a14:useLocalDpi xmlns:a14="http://schemas.microsoft.com/office/drawing/2010/main" val="0"/>
                              </a:ext>
                            </a:extLst>
                          </a:blip>
                          <a:srcRect l="57649"/>
                          <a:stretch/>
                        </pic:blipFill>
                        <pic:spPr bwMode="auto">
                          <a:xfrm>
                            <a:off x="0" y="0"/>
                            <a:ext cx="2591435" cy="2611755"/>
                          </a:xfrm>
                          <a:prstGeom prst="rect">
                            <a:avLst/>
                          </a:prstGeom>
                          <a:noFill/>
                          <a:ln>
                            <a:noFill/>
                          </a:ln>
                          <a:effectLst/>
                          <a:extLst>
                            <a:ext uri="{53640926-AAD7-44D8-BBD7-CCE9431645EC}">
                              <a14:shadowObscured xmlns:a14="http://schemas.microsoft.com/office/drawing/2010/main"/>
                            </a:ext>
                          </a:extLst>
                        </pic:spPr>
                      </pic:pic>
                    </a:graphicData>
                  </a:graphic>
                </wp:anchor>
              </w:drawing>
            </w:r>
            <w:hyperlink r:id="rId2" w:history="1">
              <w:r w:rsidR="00310275" w:rsidRPr="00DA3FC3">
                <w:rPr>
                  <w:rStyle w:val="Hyperlink"/>
                  <w:sz w:val="16"/>
                  <w:lang w:val="en-AU"/>
                </w:rPr>
                <w:t>www.quakecentre.co.nz</w:t>
              </w:r>
            </w:hyperlink>
            <w:r w:rsidR="00467B6C">
              <w:rPr>
                <w:noProof/>
                <w:w w:val="100"/>
                <w:lang w:val="en-US"/>
              </w:rPr>
              <mc:AlternateContent>
                <mc:Choice Requires="wps">
                  <w:drawing>
                    <wp:anchor distT="0" distB="0" distL="114300" distR="114300" simplePos="0" relativeHeight="251658240" behindDoc="0" locked="0" layoutInCell="1" allowOverlap="1" wp14:anchorId="10A38815" wp14:editId="6CA839E9">
                      <wp:simplePos x="0" y="0"/>
                      <wp:positionH relativeFrom="column">
                        <wp:posOffset>6085840</wp:posOffset>
                      </wp:positionH>
                      <wp:positionV relativeFrom="paragraph">
                        <wp:posOffset>-38100</wp:posOffset>
                      </wp:positionV>
                      <wp:extent cx="348615" cy="308610"/>
                      <wp:effectExtent l="0" t="0" r="0" b="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80B" w:rsidRPr="009E480B" w:rsidRDefault="0097333D" w:rsidP="009E480B">
                                  <w:pPr>
                                    <w:rPr>
                                      <w:rStyle w:val="PageNumber"/>
                                    </w:rPr>
                                  </w:pPr>
                                  <w:r w:rsidRPr="009E480B">
                                    <w:rPr>
                                      <w:rStyle w:val="PageNumber"/>
                                    </w:rPr>
                                    <w:fldChar w:fldCharType="begin"/>
                                  </w:r>
                                  <w:r w:rsidR="009E480B" w:rsidRPr="009E480B">
                                    <w:rPr>
                                      <w:rStyle w:val="PageNumber"/>
                                    </w:rPr>
                                    <w:instrText xml:space="preserve"> PAGE </w:instrText>
                                  </w:r>
                                  <w:r w:rsidRPr="009E480B">
                                    <w:rPr>
                                      <w:rStyle w:val="PageNumber"/>
                                    </w:rPr>
                                    <w:fldChar w:fldCharType="separate"/>
                                  </w:r>
                                  <w:r w:rsidR="00281B9B">
                                    <w:rPr>
                                      <w:rStyle w:val="PageNumber"/>
                                      <w:noProof/>
                                    </w:rPr>
                                    <w:t>1</w:t>
                                  </w:r>
                                  <w:r w:rsidRPr="009E480B">
                                    <w:rPr>
                                      <w:rStyle w:val="PageNumber"/>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79.2pt;margin-top:-3pt;width:27.45pt;height:2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" filled="f" stroked="f">
                      <v:textbox>
                        <w:txbxContent>
                          <w:p w:rsidR="009E480B" w:rsidRPr="009E480B" w:rsidRDefault="0097333D" w:rsidP="009E480B">
                            <w:pPr>
                              <w:rPr>
                                <w:rStyle w:val="PageNumber"/>
                              </w:rPr>
                            </w:pPr>
                            <w:r w:rsidRPr="009E480B">
                              <w:rPr>
                                <w:rStyle w:val="PageNumber"/>
                              </w:rPr>
                              <w:fldChar w:fldCharType="begin"/>
                            </w:r>
                            <w:r w:rsidR="009E480B" w:rsidRPr="009E480B">
                              <w:rPr>
                                <w:rStyle w:val="PageNumber"/>
                              </w:rPr>
                              <w:instrText xml:space="preserve"> PAGE </w:instrText>
                            </w:r>
                            <w:r w:rsidRPr="009E480B">
                              <w:rPr>
                                <w:rStyle w:val="PageNumber"/>
                              </w:rPr>
                              <w:fldChar w:fldCharType="separate"/>
                            </w:r>
                            <w:r w:rsidR="00281B9B">
                              <w:rPr>
                                <w:rStyle w:val="PageNumber"/>
                                <w:noProof/>
                              </w:rPr>
                              <w:t>1</w:t>
                            </w:r>
                            <w:r w:rsidRPr="009E480B">
                              <w:rPr>
                                <w:rStyle w:val="PageNumber"/>
                              </w:rPr>
                              <w:fldChar w:fldCharType="end"/>
                            </w:r>
                          </w:p>
                        </w:txbxContent>
                      </v:textbox>
                    </v:shape>
                  </w:pict>
                </mc:Fallback>
              </mc:AlternateContent>
            </w:r>
            <w:r w:rsidR="00234F69">
              <w:tab/>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AF7" w:rsidRDefault="00B17AF7" w:rsidP="006B4A55">
      <w:pPr>
        <w:spacing w:after="0" w:line="240" w:lineRule="auto"/>
      </w:pPr>
      <w:r>
        <w:separator/>
      </w:r>
    </w:p>
  </w:footnote>
  <w:footnote w:type="continuationSeparator" w:id="0">
    <w:p w:rsidR="00B17AF7" w:rsidRDefault="00B17AF7" w:rsidP="006B4A55">
      <w:pPr>
        <w:spacing w:after="0" w:line="240" w:lineRule="auto"/>
      </w:pPr>
      <w:r>
        <w:continuationSeparator/>
      </w:r>
    </w:p>
  </w:footnote>
  <w:footnote w:id="1">
    <w:p w:rsidR="00E77AEE" w:rsidRPr="00DD7921" w:rsidRDefault="007A3671" w:rsidP="00E77AEE">
      <w:pPr>
        <w:pStyle w:val="FootnoteText"/>
      </w:pPr>
      <w:r>
        <w:rPr>
          <w:vertAlign w:val="superscript"/>
        </w:rPr>
        <w:t xml:space="preserve">1 </w:t>
      </w:r>
      <w:r w:rsidR="00E77AEE">
        <w:t>F</w:t>
      </w:r>
      <w:r w:rsidR="00E77AEE" w:rsidRPr="00937D74">
        <w:t>rom the D</w:t>
      </w:r>
      <w:r w:rsidR="00E77AEE">
        <w:t>epartment of Internal Affairs</w:t>
      </w:r>
      <w:r w:rsidR="00E77AEE" w:rsidRPr="00937D74">
        <w:t xml:space="preserve"> analysis of 2014 Local Authority Annual</w:t>
      </w:r>
      <w:r w:rsidR="00E77AEE">
        <w:t xml:space="preserve"> reports</w:t>
      </w:r>
    </w:p>
  </w:footnote>
  <w:footnote w:id="2">
    <w:p w:rsidR="00D57441" w:rsidRDefault="00D57441">
      <w:pPr>
        <w:pStyle w:val="FootnoteText"/>
      </w:pPr>
      <w:r>
        <w:rPr>
          <w:rStyle w:val="FootnoteReference"/>
        </w:rPr>
        <w:footnoteRef/>
      </w:r>
      <w:r>
        <w:t xml:space="preserve"> Improving New Zealand’s water, wastewater and stormwater sector, Local Government New Zealand, September 2015 retrieved from: </w:t>
      </w:r>
      <w:hyperlink r:id="rId1" w:history="1">
        <w:r w:rsidRPr="003804C9">
          <w:rPr>
            <w:rStyle w:val="Hyperlink"/>
          </w:rPr>
          <w:t>http://www.lgnz.co.nz/assets/Uploads/29617-three-Waters-Position-Paper.pdf</w:t>
        </w:r>
      </w:hyperlink>
    </w:p>
    <w:p w:rsidR="00D57441" w:rsidRPr="00D57441" w:rsidRDefault="00D57441">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2B9" w:rsidRDefault="00EB12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072264"/>
      <w:docPartObj>
        <w:docPartGallery w:val="Watermarks"/>
        <w:docPartUnique/>
      </w:docPartObj>
    </w:sdtPr>
    <w:sdtEndPr/>
    <w:sdtContent>
      <w:p w:rsidR="00EB12B9" w:rsidRDefault="00281B9B">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29892" o:spid="_x0000_s4097" type="#_x0000_t136" style="position:absolute;left:0;text-align:left;margin-left:0;margin-top:0;width:545.4pt;height:90.9pt;rotation:315;z-index:-251655168;mso-position-horizontal:center;mso-position-horizontal-relative:margin;mso-position-vertical:center;mso-position-vertical-relative:margin" o:allowincell="f" fillcolor="silver" stroked="f">
              <v:fill opacity=".5"/>
              <v:textpath style="font-family:&quot;Calibri&quot;;font-size:1pt" string="DRAFT FOR DISCUSSION"/>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192" w:rsidRPr="00173E9C" w:rsidRDefault="00496192" w:rsidP="00035BD3">
    <w:pPr>
      <w:pStyle w:val="Header"/>
      <w:rPr>
        <w:color w:val="000000"/>
      </w:rPr>
    </w:pPr>
    <w:r w:rsidRPr="00173E9C">
      <w:rPr>
        <w:noProof/>
        <w:color w:val="000000"/>
        <w:w w:val="100"/>
      </w:rPr>
      <w:drawing>
        <wp:anchor distT="0" distB="0" distL="114300" distR="114300" simplePos="0" relativeHeight="251654144" behindDoc="0" locked="0" layoutInCell="1" allowOverlap="1" wp14:anchorId="2356B086" wp14:editId="4FBEC857">
          <wp:simplePos x="0" y="0"/>
          <wp:positionH relativeFrom="page">
            <wp:posOffset>1551305</wp:posOffset>
          </wp:positionH>
          <wp:positionV relativeFrom="paragraph">
            <wp:posOffset>-21590</wp:posOffset>
          </wp:positionV>
          <wp:extent cx="4456430" cy="503555"/>
          <wp:effectExtent l="0" t="0" r="127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_QuakeCentr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56430" cy="503555"/>
                  </a:xfrm>
                  <a:prstGeom prst="rect">
                    <a:avLst/>
                  </a:prstGeom>
                </pic:spPr>
              </pic:pic>
            </a:graphicData>
          </a:graphic>
        </wp:anchor>
      </w:drawing>
    </w:r>
    <w:r w:rsidR="00467B6C">
      <w:rPr>
        <w:noProof/>
        <w:color w:val="000000"/>
        <w:w w:val="100"/>
      </w:rPr>
      <mc:AlternateContent>
        <mc:Choice Requires="wps">
          <w:drawing>
            <wp:anchor distT="4294967295" distB="4294967295" distL="114300" distR="114300" simplePos="0" relativeHeight="251655168" behindDoc="0" locked="0" layoutInCell="1" allowOverlap="1" wp14:anchorId="65188C44" wp14:editId="79CA04A9">
              <wp:simplePos x="0" y="0"/>
              <wp:positionH relativeFrom="column">
                <wp:posOffset>751205</wp:posOffset>
              </wp:positionH>
              <wp:positionV relativeFrom="paragraph">
                <wp:posOffset>-103506</wp:posOffset>
              </wp:positionV>
              <wp:extent cx="4243070" cy="0"/>
              <wp:effectExtent l="0" t="0" r="241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43070" cy="0"/>
                      </a:xfrm>
                      <a:prstGeom prst="line">
                        <a:avLst/>
                      </a:prstGeom>
                      <a:ln w="12700">
                        <a:solidFill>
                          <a:srgbClr val="EE302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9.15pt,-8.15pt" to="393.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" strokecolor="#ee3024" strokeweight="1pt">
              <o:lock v:ext="edit" shapetype="f"/>
            </v:line>
          </w:pict>
        </mc:Fallback>
      </mc:AlternateContent>
    </w:r>
  </w:p>
  <w:p w:rsidR="00A22192" w:rsidRDefault="00467B6C" w:rsidP="00035BD3">
    <w:pPr>
      <w:pStyle w:val="Header"/>
    </w:pPr>
    <w:r>
      <w:rPr>
        <w:noProof/>
        <w:color w:val="000000"/>
        <w:w w:val="100"/>
      </w:rPr>
      <mc:AlternateContent>
        <mc:Choice Requires="wps">
          <w:drawing>
            <wp:anchor distT="4294967295" distB="4294967295" distL="114300" distR="114300" simplePos="0" relativeHeight="251660288" behindDoc="0" locked="0" layoutInCell="1" allowOverlap="1" wp14:anchorId="5621C02E" wp14:editId="67D6770E">
              <wp:simplePos x="0" y="0"/>
              <wp:positionH relativeFrom="column">
                <wp:posOffset>751205</wp:posOffset>
              </wp:positionH>
              <wp:positionV relativeFrom="paragraph">
                <wp:posOffset>335279</wp:posOffset>
              </wp:positionV>
              <wp:extent cx="4243070" cy="0"/>
              <wp:effectExtent l="0" t="0" r="241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43070" cy="0"/>
                      </a:xfrm>
                      <a:prstGeom prst="line">
                        <a:avLst/>
                      </a:prstGeom>
                      <a:ln w="12700">
                        <a:solidFill>
                          <a:srgbClr val="EE302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9.15pt,26.4pt" to="393.2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" strokecolor="#ee3024" strokeweight="1pt">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405E2"/>
    <w:multiLevelType w:val="hybridMultilevel"/>
    <w:tmpl w:val="BB2AC554"/>
    <w:lvl w:ilvl="0" w:tplc="0C09000F">
      <w:start w:val="1"/>
      <w:numFmt w:val="decimal"/>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1">
    <w:nsid w:val="2AE96DEE"/>
    <w:multiLevelType w:val="hybridMultilevel"/>
    <w:tmpl w:val="5206482C"/>
    <w:lvl w:ilvl="0" w:tplc="0C09000F">
      <w:start w:val="1"/>
      <w:numFmt w:val="decimal"/>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2">
    <w:nsid w:val="38F72B82"/>
    <w:multiLevelType w:val="multilevel"/>
    <w:tmpl w:val="49BE6F86"/>
    <w:lvl w:ilvl="0">
      <w:start w:val="1"/>
      <w:numFmt w:val="bullet"/>
      <w:pStyle w:val="ListBullet"/>
      <w:lvlText w:val=""/>
      <w:lvlJc w:val="left"/>
      <w:pPr>
        <w:tabs>
          <w:tab w:val="num" w:pos="567"/>
        </w:tabs>
        <w:ind w:left="567" w:hanging="283"/>
      </w:pPr>
      <w:rPr>
        <w:rFonts w:ascii="Wingdings" w:hAnsi="Wingdings" w:hint="default"/>
        <w:color w:val="323232"/>
        <w:sz w:val="20"/>
      </w:rPr>
    </w:lvl>
    <w:lvl w:ilvl="1">
      <w:start w:val="1"/>
      <w:numFmt w:val="bullet"/>
      <w:pStyle w:val="ListBullet2"/>
      <w:lvlText w:val=""/>
      <w:lvlJc w:val="left"/>
      <w:pPr>
        <w:tabs>
          <w:tab w:val="num" w:pos="992"/>
        </w:tabs>
        <w:ind w:left="992" w:hanging="425"/>
      </w:pPr>
      <w:rPr>
        <w:rFonts w:ascii="Wingdings" w:hAnsi="Wingdings" w:hint="default"/>
        <w:color w:val="323232"/>
        <w:w w:val="90"/>
        <w:sz w:val="16"/>
      </w:rPr>
    </w:lvl>
    <w:lvl w:ilvl="2">
      <w:start w:val="1"/>
      <w:numFmt w:val="bullet"/>
      <w:pStyle w:val="ListBullet3"/>
      <w:lvlText w:val=""/>
      <w:lvlJc w:val="left"/>
      <w:pPr>
        <w:tabs>
          <w:tab w:val="num" w:pos="1418"/>
        </w:tabs>
        <w:ind w:left="1418" w:hanging="426"/>
      </w:pPr>
      <w:rPr>
        <w:rFonts w:ascii="Wingdings" w:hAnsi="Wingdings" w:hint="default"/>
        <w:color w:val="323232"/>
        <w:w w:val="80"/>
        <w:sz w:val="16"/>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
    <w:nsid w:val="3B5A1D82"/>
    <w:multiLevelType w:val="multilevel"/>
    <w:tmpl w:val="3174AA84"/>
    <w:lvl w:ilvl="0">
      <w:start w:val="1"/>
      <w:numFmt w:val="decimal"/>
      <w:lvlRestart w:val="0"/>
      <w:pStyle w:val="ListNumber"/>
      <w:lvlText w:val="%1."/>
      <w:lvlJc w:val="left"/>
      <w:pPr>
        <w:tabs>
          <w:tab w:val="num" w:pos="567"/>
        </w:tabs>
        <w:ind w:left="567" w:hanging="425"/>
      </w:pPr>
      <w:rPr>
        <w:rFonts w:hint="default"/>
        <w:b w:val="0"/>
        <w:i w:val="0"/>
        <w:color w:val="auto"/>
        <w:sz w:val="20"/>
      </w:rPr>
    </w:lvl>
    <w:lvl w:ilvl="1">
      <w:start w:val="1"/>
      <w:numFmt w:val="lowerLetter"/>
      <w:pStyle w:val="ListNumber2"/>
      <w:lvlText w:val="%2."/>
      <w:lvlJc w:val="left"/>
      <w:pPr>
        <w:tabs>
          <w:tab w:val="num" w:pos="992"/>
        </w:tabs>
        <w:ind w:left="992" w:hanging="425"/>
      </w:pPr>
      <w:rPr>
        <w:rFonts w:hint="default"/>
      </w:rPr>
    </w:lvl>
    <w:lvl w:ilvl="2">
      <w:start w:val="1"/>
      <w:numFmt w:val="lowerRoman"/>
      <w:pStyle w:val="ListNumber3"/>
      <w:lvlText w:val="%3."/>
      <w:lvlJc w:val="right"/>
      <w:pPr>
        <w:tabs>
          <w:tab w:val="num" w:pos="1417"/>
        </w:tabs>
        <w:ind w:left="1417" w:hanging="425"/>
      </w:pPr>
      <w:rPr>
        <w:rFonts w:hint="default"/>
      </w:rPr>
    </w:lvl>
    <w:lvl w:ilvl="3">
      <w:start w:val="1"/>
      <w:numFmt w:val="decimal"/>
      <w:lvlText w:val="%4."/>
      <w:lvlJc w:val="left"/>
      <w:pPr>
        <w:tabs>
          <w:tab w:val="num" w:pos="482"/>
        </w:tabs>
        <w:ind w:left="2183" w:hanging="426"/>
      </w:pPr>
      <w:rPr>
        <w:rFonts w:hint="default"/>
      </w:rPr>
    </w:lvl>
    <w:lvl w:ilvl="4">
      <w:start w:val="1"/>
      <w:numFmt w:val="lowerLetter"/>
      <w:lvlText w:val="%5."/>
      <w:lvlJc w:val="left"/>
      <w:pPr>
        <w:tabs>
          <w:tab w:val="num" w:pos="4439"/>
        </w:tabs>
        <w:ind w:left="4439" w:hanging="363"/>
      </w:pPr>
      <w:rPr>
        <w:rFonts w:hint="default"/>
      </w:rPr>
    </w:lvl>
    <w:lvl w:ilvl="5">
      <w:start w:val="1"/>
      <w:numFmt w:val="lowerRoman"/>
      <w:lvlText w:val="%6."/>
      <w:lvlJc w:val="right"/>
      <w:pPr>
        <w:tabs>
          <w:tab w:val="num" w:pos="5159"/>
        </w:tabs>
        <w:ind w:left="5159" w:hanging="181"/>
      </w:pPr>
      <w:rPr>
        <w:rFonts w:hint="default"/>
      </w:rPr>
    </w:lvl>
    <w:lvl w:ilvl="6">
      <w:start w:val="1"/>
      <w:numFmt w:val="decimal"/>
      <w:lvlText w:val="%7."/>
      <w:lvlJc w:val="left"/>
      <w:pPr>
        <w:tabs>
          <w:tab w:val="num" w:pos="5879"/>
        </w:tabs>
        <w:ind w:left="5879" w:hanging="363"/>
      </w:pPr>
      <w:rPr>
        <w:rFonts w:hint="default"/>
      </w:rPr>
    </w:lvl>
    <w:lvl w:ilvl="7">
      <w:start w:val="1"/>
      <w:numFmt w:val="lowerLetter"/>
      <w:lvlText w:val="%8."/>
      <w:lvlJc w:val="left"/>
      <w:pPr>
        <w:tabs>
          <w:tab w:val="num" w:pos="6599"/>
        </w:tabs>
        <w:ind w:left="6599" w:hanging="363"/>
      </w:pPr>
      <w:rPr>
        <w:rFonts w:hint="default"/>
      </w:rPr>
    </w:lvl>
    <w:lvl w:ilvl="8">
      <w:start w:val="1"/>
      <w:numFmt w:val="lowerRoman"/>
      <w:lvlText w:val="%9."/>
      <w:lvlJc w:val="right"/>
      <w:pPr>
        <w:tabs>
          <w:tab w:val="num" w:pos="7319"/>
        </w:tabs>
        <w:ind w:left="7319" w:hanging="181"/>
      </w:pPr>
      <w:rPr>
        <w:rFonts w:hint="default"/>
      </w:rPr>
    </w:lvl>
  </w:abstractNum>
  <w:abstractNum w:abstractNumId="4">
    <w:nsid w:val="4C5E06BC"/>
    <w:multiLevelType w:val="hybridMultilevel"/>
    <w:tmpl w:val="F29847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536B7051"/>
    <w:multiLevelType w:val="hybridMultilevel"/>
    <w:tmpl w:val="5206482C"/>
    <w:lvl w:ilvl="0" w:tplc="0C09000F">
      <w:start w:val="1"/>
      <w:numFmt w:val="decimal"/>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6">
    <w:nsid w:val="59746EB5"/>
    <w:multiLevelType w:val="hybridMultilevel"/>
    <w:tmpl w:val="B97436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59AC5CDB"/>
    <w:multiLevelType w:val="hybridMultilevel"/>
    <w:tmpl w:val="FE326C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5A985241"/>
    <w:multiLevelType w:val="hybridMultilevel"/>
    <w:tmpl w:val="BB2AC554"/>
    <w:lvl w:ilvl="0" w:tplc="0C09000F">
      <w:start w:val="1"/>
      <w:numFmt w:val="decimal"/>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9">
    <w:nsid w:val="601140E2"/>
    <w:multiLevelType w:val="hybridMultilevel"/>
    <w:tmpl w:val="5206482C"/>
    <w:lvl w:ilvl="0" w:tplc="0C09000F">
      <w:start w:val="1"/>
      <w:numFmt w:val="decimal"/>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10">
    <w:nsid w:val="67253214"/>
    <w:multiLevelType w:val="hybridMultilevel"/>
    <w:tmpl w:val="5206482C"/>
    <w:lvl w:ilvl="0" w:tplc="0C09000F">
      <w:start w:val="1"/>
      <w:numFmt w:val="decimal"/>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11">
    <w:nsid w:val="68876024"/>
    <w:multiLevelType w:val="hybridMultilevel"/>
    <w:tmpl w:val="1E4EE8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72587217"/>
    <w:multiLevelType w:val="hybridMultilevel"/>
    <w:tmpl w:val="BB2AC554"/>
    <w:lvl w:ilvl="0" w:tplc="0C09000F">
      <w:start w:val="1"/>
      <w:numFmt w:val="decimal"/>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13">
    <w:nsid w:val="7E4F6E6C"/>
    <w:multiLevelType w:val="hybridMultilevel"/>
    <w:tmpl w:val="5206482C"/>
    <w:lvl w:ilvl="0" w:tplc="0C09000F">
      <w:start w:val="1"/>
      <w:numFmt w:val="decimal"/>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14">
    <w:nsid w:val="7EBE1C55"/>
    <w:multiLevelType w:val="hybridMultilevel"/>
    <w:tmpl w:val="BB2AC554"/>
    <w:lvl w:ilvl="0" w:tplc="0C09000F">
      <w:start w:val="1"/>
      <w:numFmt w:val="decimal"/>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num w:numId="1">
    <w:abstractNumId w:val="2"/>
  </w:num>
  <w:num w:numId="2">
    <w:abstractNumId w:val="3"/>
  </w:num>
  <w:num w:numId="3">
    <w:abstractNumId w:val="2"/>
  </w:num>
  <w:num w:numId="4">
    <w:abstractNumId w:val="2"/>
  </w:num>
  <w:num w:numId="5">
    <w:abstractNumId w:val="2"/>
  </w:num>
  <w:num w:numId="6">
    <w:abstractNumId w:val="3"/>
  </w:num>
  <w:num w:numId="7">
    <w:abstractNumId w:val="3"/>
  </w:num>
  <w:num w:numId="8">
    <w:abstractNumId w:val="3"/>
  </w:num>
  <w:num w:numId="9">
    <w:abstractNumId w:val="6"/>
  </w:num>
  <w:num w:numId="10">
    <w:abstractNumId w:val="4"/>
  </w:num>
  <w:num w:numId="11">
    <w:abstractNumId w:val="11"/>
  </w:num>
  <w:num w:numId="12">
    <w:abstractNumId w:val="7"/>
  </w:num>
  <w:num w:numId="13">
    <w:abstractNumId w:val="5"/>
  </w:num>
  <w:num w:numId="14">
    <w:abstractNumId w:val="1"/>
  </w:num>
  <w:num w:numId="15">
    <w:abstractNumId w:val="10"/>
  </w:num>
  <w:num w:numId="16">
    <w:abstractNumId w:val="13"/>
  </w:num>
  <w:num w:numId="17">
    <w:abstractNumId w:val="8"/>
  </w:num>
  <w:num w:numId="18">
    <w:abstractNumId w:val="9"/>
  </w:num>
  <w:num w:numId="19">
    <w:abstractNumId w:val="12"/>
  </w:num>
  <w:num w:numId="20">
    <w:abstractNumId w:val="0"/>
  </w:num>
  <w:num w:numId="21">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drawingGridHorizontalSpacing w:val="95"/>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AF7"/>
    <w:rsid w:val="00004761"/>
    <w:rsid w:val="00012189"/>
    <w:rsid w:val="00022908"/>
    <w:rsid w:val="000236F6"/>
    <w:rsid w:val="00024F0D"/>
    <w:rsid w:val="00030286"/>
    <w:rsid w:val="00035BD3"/>
    <w:rsid w:val="0003756C"/>
    <w:rsid w:val="00047320"/>
    <w:rsid w:val="00047958"/>
    <w:rsid w:val="00050705"/>
    <w:rsid w:val="00073B1B"/>
    <w:rsid w:val="00076FFB"/>
    <w:rsid w:val="00084430"/>
    <w:rsid w:val="00096114"/>
    <w:rsid w:val="000A35E6"/>
    <w:rsid w:val="000D1F26"/>
    <w:rsid w:val="000D2759"/>
    <w:rsid w:val="000E1EF3"/>
    <w:rsid w:val="000F179A"/>
    <w:rsid w:val="000F615C"/>
    <w:rsid w:val="000F62D2"/>
    <w:rsid w:val="00100894"/>
    <w:rsid w:val="00104B8B"/>
    <w:rsid w:val="0011209B"/>
    <w:rsid w:val="00116E8A"/>
    <w:rsid w:val="00130485"/>
    <w:rsid w:val="0013502C"/>
    <w:rsid w:val="001546E8"/>
    <w:rsid w:val="0016487E"/>
    <w:rsid w:val="0017148A"/>
    <w:rsid w:val="0017154E"/>
    <w:rsid w:val="00173E9C"/>
    <w:rsid w:val="00174A73"/>
    <w:rsid w:val="00183997"/>
    <w:rsid w:val="001B04FC"/>
    <w:rsid w:val="001B173C"/>
    <w:rsid w:val="001B1E4E"/>
    <w:rsid w:val="001B1E6B"/>
    <w:rsid w:val="001B3D2B"/>
    <w:rsid w:val="001C5A28"/>
    <w:rsid w:val="001D20E2"/>
    <w:rsid w:val="001E3809"/>
    <w:rsid w:val="001E4EA4"/>
    <w:rsid w:val="001E724F"/>
    <w:rsid w:val="001E7283"/>
    <w:rsid w:val="001E76CC"/>
    <w:rsid w:val="001F2017"/>
    <w:rsid w:val="002000E2"/>
    <w:rsid w:val="00201FBF"/>
    <w:rsid w:val="00210236"/>
    <w:rsid w:val="002125E1"/>
    <w:rsid w:val="00215B30"/>
    <w:rsid w:val="002169BE"/>
    <w:rsid w:val="002177C1"/>
    <w:rsid w:val="00217AD4"/>
    <w:rsid w:val="002215E6"/>
    <w:rsid w:val="00221601"/>
    <w:rsid w:val="002225C9"/>
    <w:rsid w:val="00226472"/>
    <w:rsid w:val="002311C4"/>
    <w:rsid w:val="002348F2"/>
    <w:rsid w:val="00234F69"/>
    <w:rsid w:val="00235F53"/>
    <w:rsid w:val="00240E13"/>
    <w:rsid w:val="00281B9B"/>
    <w:rsid w:val="002A5A3B"/>
    <w:rsid w:val="002B422A"/>
    <w:rsid w:val="002C3B93"/>
    <w:rsid w:val="002C558E"/>
    <w:rsid w:val="002E0F2A"/>
    <w:rsid w:val="002F5566"/>
    <w:rsid w:val="00302D46"/>
    <w:rsid w:val="00303BC6"/>
    <w:rsid w:val="00310275"/>
    <w:rsid w:val="00313EF1"/>
    <w:rsid w:val="00313F9C"/>
    <w:rsid w:val="003141EB"/>
    <w:rsid w:val="003229DA"/>
    <w:rsid w:val="00336E32"/>
    <w:rsid w:val="00345497"/>
    <w:rsid w:val="00370925"/>
    <w:rsid w:val="00377D4A"/>
    <w:rsid w:val="00382FF1"/>
    <w:rsid w:val="003A159C"/>
    <w:rsid w:val="003A78FE"/>
    <w:rsid w:val="003B2F62"/>
    <w:rsid w:val="003D011B"/>
    <w:rsid w:val="003D0D34"/>
    <w:rsid w:val="003D2722"/>
    <w:rsid w:val="003F1C2E"/>
    <w:rsid w:val="003F69C6"/>
    <w:rsid w:val="004106F8"/>
    <w:rsid w:val="00420BCD"/>
    <w:rsid w:val="00427FA9"/>
    <w:rsid w:val="00433246"/>
    <w:rsid w:val="00436245"/>
    <w:rsid w:val="0044394E"/>
    <w:rsid w:val="00447F79"/>
    <w:rsid w:val="004529F6"/>
    <w:rsid w:val="00466A14"/>
    <w:rsid w:val="00467B6C"/>
    <w:rsid w:val="00470438"/>
    <w:rsid w:val="0048022B"/>
    <w:rsid w:val="004935D6"/>
    <w:rsid w:val="00496192"/>
    <w:rsid w:val="00496434"/>
    <w:rsid w:val="004A1A5C"/>
    <w:rsid w:val="004A4F01"/>
    <w:rsid w:val="004A5B22"/>
    <w:rsid w:val="004D4F28"/>
    <w:rsid w:val="004E7B94"/>
    <w:rsid w:val="004F4D89"/>
    <w:rsid w:val="004F5F62"/>
    <w:rsid w:val="00511572"/>
    <w:rsid w:val="005119ED"/>
    <w:rsid w:val="00512869"/>
    <w:rsid w:val="00516BDC"/>
    <w:rsid w:val="00525DED"/>
    <w:rsid w:val="00536B13"/>
    <w:rsid w:val="0054340E"/>
    <w:rsid w:val="00562898"/>
    <w:rsid w:val="00582932"/>
    <w:rsid w:val="005841D5"/>
    <w:rsid w:val="005B555B"/>
    <w:rsid w:val="005B648A"/>
    <w:rsid w:val="005C4E74"/>
    <w:rsid w:val="006100D4"/>
    <w:rsid w:val="00615632"/>
    <w:rsid w:val="00617691"/>
    <w:rsid w:val="00645D96"/>
    <w:rsid w:val="00653A1D"/>
    <w:rsid w:val="00657968"/>
    <w:rsid w:val="0066103A"/>
    <w:rsid w:val="00661F7D"/>
    <w:rsid w:val="00662918"/>
    <w:rsid w:val="00674A8A"/>
    <w:rsid w:val="0067733D"/>
    <w:rsid w:val="006813D4"/>
    <w:rsid w:val="0068699C"/>
    <w:rsid w:val="006B4A55"/>
    <w:rsid w:val="006B69F6"/>
    <w:rsid w:val="006D3583"/>
    <w:rsid w:val="006D4E28"/>
    <w:rsid w:val="006F669E"/>
    <w:rsid w:val="00701F8B"/>
    <w:rsid w:val="00705E54"/>
    <w:rsid w:val="00710244"/>
    <w:rsid w:val="00711BD5"/>
    <w:rsid w:val="00740F98"/>
    <w:rsid w:val="007423B9"/>
    <w:rsid w:val="0075196F"/>
    <w:rsid w:val="00765845"/>
    <w:rsid w:val="00765EF6"/>
    <w:rsid w:val="007A3671"/>
    <w:rsid w:val="007B3A10"/>
    <w:rsid w:val="007C75F3"/>
    <w:rsid w:val="007E5801"/>
    <w:rsid w:val="007F0A6D"/>
    <w:rsid w:val="007F208C"/>
    <w:rsid w:val="007F7409"/>
    <w:rsid w:val="00807C13"/>
    <w:rsid w:val="008124AF"/>
    <w:rsid w:val="008174C5"/>
    <w:rsid w:val="00824604"/>
    <w:rsid w:val="0085136D"/>
    <w:rsid w:val="00854BDB"/>
    <w:rsid w:val="0087355E"/>
    <w:rsid w:val="00876176"/>
    <w:rsid w:val="00876E6D"/>
    <w:rsid w:val="00877E1C"/>
    <w:rsid w:val="008B5768"/>
    <w:rsid w:val="008E214C"/>
    <w:rsid w:val="008E5A89"/>
    <w:rsid w:val="008E7BCD"/>
    <w:rsid w:val="00900C5E"/>
    <w:rsid w:val="00905352"/>
    <w:rsid w:val="009268C2"/>
    <w:rsid w:val="00935CCF"/>
    <w:rsid w:val="00941C8F"/>
    <w:rsid w:val="00942035"/>
    <w:rsid w:val="00944D9E"/>
    <w:rsid w:val="009456C7"/>
    <w:rsid w:val="00962DBE"/>
    <w:rsid w:val="0097333D"/>
    <w:rsid w:val="00984CDA"/>
    <w:rsid w:val="00987BE4"/>
    <w:rsid w:val="009B12DB"/>
    <w:rsid w:val="009D3810"/>
    <w:rsid w:val="009E480B"/>
    <w:rsid w:val="009F22ED"/>
    <w:rsid w:val="009F4A1B"/>
    <w:rsid w:val="009F642B"/>
    <w:rsid w:val="00A00B8A"/>
    <w:rsid w:val="00A02EE3"/>
    <w:rsid w:val="00A10777"/>
    <w:rsid w:val="00A13090"/>
    <w:rsid w:val="00A1385F"/>
    <w:rsid w:val="00A22192"/>
    <w:rsid w:val="00A24D4E"/>
    <w:rsid w:val="00A26982"/>
    <w:rsid w:val="00A44291"/>
    <w:rsid w:val="00A954EB"/>
    <w:rsid w:val="00AA0CEF"/>
    <w:rsid w:val="00AB1A46"/>
    <w:rsid w:val="00AB5156"/>
    <w:rsid w:val="00AB6A79"/>
    <w:rsid w:val="00AC35C7"/>
    <w:rsid w:val="00AC40D8"/>
    <w:rsid w:val="00AE6305"/>
    <w:rsid w:val="00B01910"/>
    <w:rsid w:val="00B063A3"/>
    <w:rsid w:val="00B142D0"/>
    <w:rsid w:val="00B17AF7"/>
    <w:rsid w:val="00B3069D"/>
    <w:rsid w:val="00B62A5A"/>
    <w:rsid w:val="00B757DF"/>
    <w:rsid w:val="00B855FF"/>
    <w:rsid w:val="00B85806"/>
    <w:rsid w:val="00B86616"/>
    <w:rsid w:val="00BA5346"/>
    <w:rsid w:val="00BB2AB5"/>
    <w:rsid w:val="00BC2411"/>
    <w:rsid w:val="00BD2875"/>
    <w:rsid w:val="00BD57E0"/>
    <w:rsid w:val="00BF57C3"/>
    <w:rsid w:val="00BF77A5"/>
    <w:rsid w:val="00C159C6"/>
    <w:rsid w:val="00C20E2C"/>
    <w:rsid w:val="00C51296"/>
    <w:rsid w:val="00C634F3"/>
    <w:rsid w:val="00C67C67"/>
    <w:rsid w:val="00C72348"/>
    <w:rsid w:val="00C7732B"/>
    <w:rsid w:val="00C86ED3"/>
    <w:rsid w:val="00CC46AB"/>
    <w:rsid w:val="00CF38A7"/>
    <w:rsid w:val="00D01BCA"/>
    <w:rsid w:val="00D11E7E"/>
    <w:rsid w:val="00D12328"/>
    <w:rsid w:val="00D16E2F"/>
    <w:rsid w:val="00D17846"/>
    <w:rsid w:val="00D2051F"/>
    <w:rsid w:val="00D25FE9"/>
    <w:rsid w:val="00D3444D"/>
    <w:rsid w:val="00D40C77"/>
    <w:rsid w:val="00D41407"/>
    <w:rsid w:val="00D57441"/>
    <w:rsid w:val="00D60F06"/>
    <w:rsid w:val="00D6771B"/>
    <w:rsid w:val="00D80079"/>
    <w:rsid w:val="00D83B6B"/>
    <w:rsid w:val="00D85A18"/>
    <w:rsid w:val="00D9091A"/>
    <w:rsid w:val="00DB022A"/>
    <w:rsid w:val="00DC42C8"/>
    <w:rsid w:val="00DC53AA"/>
    <w:rsid w:val="00DD0CA4"/>
    <w:rsid w:val="00DD23B0"/>
    <w:rsid w:val="00DD78D0"/>
    <w:rsid w:val="00DE71C4"/>
    <w:rsid w:val="00DF23BC"/>
    <w:rsid w:val="00E00BC8"/>
    <w:rsid w:val="00E06F15"/>
    <w:rsid w:val="00E12BBA"/>
    <w:rsid w:val="00E37C59"/>
    <w:rsid w:val="00E40403"/>
    <w:rsid w:val="00E451D2"/>
    <w:rsid w:val="00E53F0D"/>
    <w:rsid w:val="00E62973"/>
    <w:rsid w:val="00E754C6"/>
    <w:rsid w:val="00E77AEE"/>
    <w:rsid w:val="00E81F3C"/>
    <w:rsid w:val="00E8607D"/>
    <w:rsid w:val="00E8751A"/>
    <w:rsid w:val="00EA2B3D"/>
    <w:rsid w:val="00EA4294"/>
    <w:rsid w:val="00EB12B9"/>
    <w:rsid w:val="00EC384C"/>
    <w:rsid w:val="00ED642F"/>
    <w:rsid w:val="00EF26C6"/>
    <w:rsid w:val="00EF5345"/>
    <w:rsid w:val="00F47C35"/>
    <w:rsid w:val="00F54898"/>
    <w:rsid w:val="00F64FE5"/>
    <w:rsid w:val="00F65765"/>
    <w:rsid w:val="00F92239"/>
    <w:rsid w:val="00FA15BC"/>
    <w:rsid w:val="00FA674C"/>
    <w:rsid w:val="00FB4577"/>
    <w:rsid w:val="00FD073A"/>
    <w:rsid w:val="00FD7B52"/>
    <w:rsid w:val="00FF038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NZ" w:eastAsia="en-US" w:bidi="ar-SA"/>
      </w:rPr>
    </w:rPrDefault>
    <w:pPrDefault>
      <w:pPr>
        <w:spacing w:after="200" w:line="0" w:lineRule="auto"/>
      </w:pPr>
    </w:pPrDefault>
  </w:docDefaults>
  <w:latentStyles w:defLockedState="0" w:defUIPriority="99" w:defSemiHidden="1" w:defUnhideWhenUsed="1" w:defQFormat="0" w:count="267">
    <w:lsdException w:name="Normal" w:semiHidden="0" w:unhideWhenUsed="0"/>
    <w:lsdException w:name="heading 1" w:semiHidden="0" w:uiPriority="4" w:unhideWhenUsed="0" w:qFormat="1"/>
    <w:lsdException w:name="heading 2" w:uiPriority="4" w:qFormat="1"/>
    <w:lsdException w:name="heading 3" w:uiPriority="4" w:qFormat="1"/>
    <w:lsdException w:name="heading 4" w:uiPriority="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74"/>
    <w:lsdException w:name="toc 2" w:uiPriority="74"/>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74" w:qFormat="1"/>
    <w:lsdException w:name="footer" w:uiPriority="74" w:qFormat="1"/>
    <w:lsdException w:name="caption" w:uiPriority="59" w:qFormat="1"/>
    <w:lsdException w:name="List Bullet" w:uiPriority="29" w:qFormat="1"/>
    <w:lsdException w:name="List Number" w:uiPriority="19" w:qFormat="1"/>
    <w:lsdException w:name="List Bullet 2" w:semiHidden="0" w:uiPriority="29" w:unhideWhenUsed="0" w:qFormat="1"/>
    <w:lsdException w:name="List Bullet 3" w:semiHidden="0" w:uiPriority="29" w:unhideWhenUsed="0" w:qFormat="1"/>
    <w:lsdException w:name="List Number 2" w:semiHidden="0" w:uiPriority="19" w:unhideWhenUsed="0" w:qFormat="1"/>
    <w:lsdException w:name="List Number 3" w:semiHidden="0" w:uiPriority="19" w:unhideWhenUsed="0" w:qFormat="1"/>
    <w:lsdException w:name="Title" w:uiPriority="79" w:unhideWhenUsed="0" w:qFormat="1"/>
    <w:lsdException w:name="Default Paragraph Font" w:uiPriority="1"/>
    <w:lsdException w:name="Body Text" w:semiHidden="0" w:uiPriority="0" w:unhideWhenUsed="0" w:qFormat="1"/>
    <w:lsdException w:name="List Continue" w:semiHidden="0" w:uiPriority="30" w:unhideWhenUsed="0" w:qFormat="1"/>
    <w:lsdException w:name="List Continue 2" w:semiHidden="0" w:uiPriority="30" w:unhideWhenUsed="0" w:qFormat="1"/>
    <w:lsdException w:name="List Continue 3" w:semiHidden="0" w:uiPriority="30" w:unhideWhenUsed="0"/>
    <w:lsdException w:name="Subtitle" w:uiPriority="79" w:unhideWhenUsed="0" w:qFormat="1"/>
    <w:lsdException w:name="Hyperlink" w:uiPriority="69"/>
    <w:lsdException w:name="FollowedHyperlink" w:uiPriority="69"/>
    <w:lsdException w:name="Strong" w:uiPriority="22" w:unhideWhenUsed="0" w:qFormat="1"/>
    <w:lsdException w:name="Emphasis" w:uiPriority="20" w:unhideWhenUsed="0" w:qFormat="1"/>
    <w:lsdException w:name="Balloon Text"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74" w:qFormat="1"/>
  </w:latentStyles>
  <w:style w:type="paragraph" w:default="1" w:styleId="Normal">
    <w:name w:val="Normal"/>
    <w:uiPriority w:val="99"/>
    <w:rsid w:val="00EF5345"/>
    <w:pPr>
      <w:spacing w:after="120" w:line="240" w:lineRule="exact"/>
    </w:pPr>
    <w:rPr>
      <w:rFonts w:ascii="Arial" w:eastAsia="Cambria" w:hAnsi="Arial" w:cs="Times New Roman"/>
      <w:color w:val="000000"/>
      <w:sz w:val="20"/>
      <w:szCs w:val="20"/>
      <w:lang w:val="en-AU"/>
    </w:rPr>
  </w:style>
  <w:style w:type="paragraph" w:styleId="Heading1">
    <w:name w:val="heading 1"/>
    <w:next w:val="BodyText"/>
    <w:link w:val="Heading1Char"/>
    <w:uiPriority w:val="4"/>
    <w:qFormat/>
    <w:rsid w:val="00336E32"/>
    <w:pPr>
      <w:keepLines/>
      <w:spacing w:before="400" w:line="480" w:lineRule="atLeast"/>
      <w:outlineLvl w:val="0"/>
    </w:pPr>
    <w:rPr>
      <w:rFonts w:ascii="Calibri" w:eastAsia="Arial" w:hAnsi="Calibri" w:cs="Arial"/>
      <w:b/>
      <w:color w:val="323232"/>
      <w:sz w:val="40"/>
      <w:szCs w:val="32"/>
    </w:rPr>
  </w:style>
  <w:style w:type="paragraph" w:styleId="Heading2">
    <w:name w:val="heading 2"/>
    <w:basedOn w:val="Heading1"/>
    <w:next w:val="BodyText"/>
    <w:link w:val="Heading2Char"/>
    <w:uiPriority w:val="4"/>
    <w:qFormat/>
    <w:rsid w:val="00336E32"/>
    <w:pPr>
      <w:keepLines w:val="0"/>
      <w:spacing w:before="300" w:after="100" w:line="420" w:lineRule="atLeast"/>
      <w:outlineLvl w:val="1"/>
    </w:pPr>
    <w:rPr>
      <w:bCs/>
      <w:iCs/>
      <w:sz w:val="32"/>
      <w:szCs w:val="28"/>
    </w:rPr>
  </w:style>
  <w:style w:type="paragraph" w:styleId="Heading3">
    <w:name w:val="heading 3"/>
    <w:basedOn w:val="Heading2"/>
    <w:next w:val="BodyText"/>
    <w:link w:val="Heading3Char"/>
    <w:uiPriority w:val="4"/>
    <w:qFormat/>
    <w:rsid w:val="00004761"/>
    <w:pPr>
      <w:keepNext/>
      <w:keepLines/>
      <w:spacing w:after="120" w:line="300" w:lineRule="atLeast"/>
      <w:outlineLvl w:val="2"/>
    </w:pPr>
    <w:rPr>
      <w:rFonts w:eastAsiaTheme="majorEastAsia"/>
      <w:bCs w:val="0"/>
      <w:sz w:val="26"/>
      <w:szCs w:val="26"/>
    </w:rPr>
  </w:style>
  <w:style w:type="paragraph" w:styleId="Heading4">
    <w:name w:val="heading 4"/>
    <w:basedOn w:val="Heading3"/>
    <w:next w:val="BodyText"/>
    <w:link w:val="Heading4Char"/>
    <w:uiPriority w:val="4"/>
    <w:qFormat/>
    <w:rsid w:val="00004761"/>
    <w:pPr>
      <w:spacing w:before="200"/>
      <w:outlineLvl w:val="3"/>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336E32"/>
    <w:rPr>
      <w:rFonts w:ascii="Calibri" w:eastAsia="Arial" w:hAnsi="Calibri" w:cs="Arial"/>
      <w:b/>
      <w:color w:val="323232"/>
      <w:sz w:val="40"/>
      <w:szCs w:val="32"/>
    </w:rPr>
  </w:style>
  <w:style w:type="paragraph" w:styleId="BodyText">
    <w:name w:val="Body Text"/>
    <w:link w:val="BodyTextChar"/>
    <w:qFormat/>
    <w:rsid w:val="00004761"/>
    <w:pPr>
      <w:keepLines/>
      <w:spacing w:before="120" w:line="240" w:lineRule="atLeast"/>
    </w:pPr>
    <w:rPr>
      <w:rFonts w:cs="Arial"/>
      <w:color w:val="000000" w:themeColor="text1"/>
      <w:sz w:val="24"/>
      <w:szCs w:val="19"/>
    </w:rPr>
  </w:style>
  <w:style w:type="character" w:customStyle="1" w:styleId="BodyTextChar">
    <w:name w:val="Body Text Char"/>
    <w:basedOn w:val="DefaultParagraphFont"/>
    <w:link w:val="BodyText"/>
    <w:rsid w:val="00004761"/>
    <w:rPr>
      <w:rFonts w:cs="Arial"/>
      <w:color w:val="000000" w:themeColor="text1"/>
      <w:sz w:val="24"/>
      <w:szCs w:val="19"/>
    </w:rPr>
  </w:style>
  <w:style w:type="paragraph" w:styleId="Footer">
    <w:name w:val="footer"/>
    <w:link w:val="FooterChar"/>
    <w:uiPriority w:val="74"/>
    <w:qFormat/>
    <w:rsid w:val="00004761"/>
    <w:pPr>
      <w:tabs>
        <w:tab w:val="right" w:pos="9072"/>
      </w:tabs>
      <w:spacing w:after="0" w:line="220" w:lineRule="exact"/>
      <w:ind w:left="1418" w:right="-567"/>
      <w:jc w:val="right"/>
    </w:pPr>
    <w:rPr>
      <w:rFonts w:ascii="Arial" w:hAnsi="Arial" w:cs="Times New Roman"/>
      <w:color w:val="414141"/>
      <w:spacing w:val="-2"/>
      <w:w w:val="105"/>
      <w:sz w:val="16"/>
      <w:szCs w:val="24"/>
    </w:rPr>
  </w:style>
  <w:style w:type="character" w:customStyle="1" w:styleId="FooterChar">
    <w:name w:val="Footer Char"/>
    <w:basedOn w:val="DefaultParagraphFont"/>
    <w:link w:val="Footer"/>
    <w:uiPriority w:val="74"/>
    <w:rsid w:val="00004761"/>
    <w:rPr>
      <w:rFonts w:ascii="Arial" w:hAnsi="Arial" w:cs="Times New Roman"/>
      <w:color w:val="414141"/>
      <w:spacing w:val="-2"/>
      <w:w w:val="105"/>
      <w:sz w:val="16"/>
      <w:szCs w:val="24"/>
    </w:rPr>
  </w:style>
  <w:style w:type="paragraph" w:styleId="Header">
    <w:name w:val="header"/>
    <w:link w:val="HeaderChar"/>
    <w:uiPriority w:val="74"/>
    <w:qFormat/>
    <w:rsid w:val="00004761"/>
    <w:pPr>
      <w:tabs>
        <w:tab w:val="right" w:pos="8789"/>
      </w:tabs>
      <w:spacing w:after="0" w:line="240" w:lineRule="auto"/>
      <w:jc w:val="right"/>
    </w:pPr>
    <w:rPr>
      <w:rFonts w:ascii="Arial" w:hAnsi="Arial" w:cs="Times New Roman"/>
      <w:spacing w:val="6"/>
      <w:w w:val="130"/>
      <w:sz w:val="16"/>
      <w:szCs w:val="16"/>
      <w:lang w:val="en-US"/>
    </w:rPr>
  </w:style>
  <w:style w:type="character" w:customStyle="1" w:styleId="HeaderChar">
    <w:name w:val="Header Char"/>
    <w:basedOn w:val="DefaultParagraphFont"/>
    <w:link w:val="Header"/>
    <w:uiPriority w:val="74"/>
    <w:rsid w:val="00004761"/>
    <w:rPr>
      <w:rFonts w:ascii="Arial" w:hAnsi="Arial" w:cs="Times New Roman"/>
      <w:spacing w:val="6"/>
      <w:w w:val="130"/>
      <w:sz w:val="16"/>
      <w:szCs w:val="16"/>
      <w:lang w:val="en-US"/>
    </w:rPr>
  </w:style>
  <w:style w:type="character" w:customStyle="1" w:styleId="Heading2Char">
    <w:name w:val="Heading 2 Char"/>
    <w:basedOn w:val="DefaultParagraphFont"/>
    <w:link w:val="Heading2"/>
    <w:uiPriority w:val="4"/>
    <w:rsid w:val="00336E32"/>
    <w:rPr>
      <w:rFonts w:ascii="Calibri" w:eastAsia="Arial" w:hAnsi="Calibri" w:cs="Arial"/>
      <w:b/>
      <w:bCs/>
      <w:iCs/>
      <w:color w:val="323232"/>
      <w:sz w:val="32"/>
      <w:szCs w:val="28"/>
    </w:rPr>
  </w:style>
  <w:style w:type="character" w:customStyle="1" w:styleId="Heading3Char">
    <w:name w:val="Heading 3 Char"/>
    <w:basedOn w:val="DefaultParagraphFont"/>
    <w:link w:val="Heading3"/>
    <w:uiPriority w:val="4"/>
    <w:rsid w:val="00004761"/>
    <w:rPr>
      <w:rFonts w:ascii="Calibri" w:eastAsiaTheme="majorEastAsia" w:hAnsi="Calibri" w:cs="Arial"/>
      <w:b/>
      <w:iCs/>
      <w:color w:val="323232"/>
      <w:sz w:val="26"/>
      <w:szCs w:val="26"/>
    </w:rPr>
  </w:style>
  <w:style w:type="character" w:customStyle="1" w:styleId="Heading4Char">
    <w:name w:val="Heading 4 Char"/>
    <w:basedOn w:val="DefaultParagraphFont"/>
    <w:link w:val="Heading4"/>
    <w:uiPriority w:val="4"/>
    <w:rsid w:val="00004761"/>
    <w:rPr>
      <w:rFonts w:ascii="Calibri" w:eastAsiaTheme="majorEastAsia" w:hAnsi="Calibri" w:cs="Arial"/>
      <w:b/>
      <w:iCs/>
      <w:color w:val="323232"/>
      <w:szCs w:val="26"/>
    </w:rPr>
  </w:style>
  <w:style w:type="character" w:styleId="Hyperlink">
    <w:name w:val="Hyperlink"/>
    <w:basedOn w:val="DefaultParagraphFont"/>
    <w:uiPriority w:val="69"/>
    <w:rsid w:val="00004761"/>
    <w:rPr>
      <w:rFonts w:ascii="Arial" w:hAnsi="Arial"/>
      <w:color w:val="A6A6A6" w:themeColor="background1" w:themeShade="A6"/>
      <w:sz w:val="20"/>
      <w:u w:val="single"/>
    </w:rPr>
  </w:style>
  <w:style w:type="paragraph" w:styleId="ListBullet">
    <w:name w:val="List Bullet"/>
    <w:basedOn w:val="BodyText"/>
    <w:link w:val="ListBulletChar"/>
    <w:uiPriority w:val="29"/>
    <w:qFormat/>
    <w:rsid w:val="00004761"/>
    <w:pPr>
      <w:numPr>
        <w:numId w:val="5"/>
      </w:numPr>
      <w:spacing w:before="160" w:after="100"/>
      <w:contextualSpacing/>
    </w:pPr>
    <w:rPr>
      <w:rFonts w:cs="Times New Roman"/>
      <w:color w:val="auto"/>
      <w:szCs w:val="20"/>
      <w:lang w:eastAsia="en-GB"/>
    </w:rPr>
  </w:style>
  <w:style w:type="paragraph" w:styleId="ListNumber">
    <w:name w:val="List Number"/>
    <w:basedOn w:val="BodyText"/>
    <w:link w:val="ListNumberChar"/>
    <w:uiPriority w:val="19"/>
    <w:qFormat/>
    <w:rsid w:val="00004761"/>
    <w:pPr>
      <w:numPr>
        <w:numId w:val="8"/>
      </w:numPr>
      <w:spacing w:before="160" w:after="100"/>
      <w:contextualSpacing/>
    </w:pPr>
    <w:rPr>
      <w:rFonts w:cs="Times New Roman"/>
      <w:color w:val="auto"/>
      <w:szCs w:val="20"/>
    </w:rPr>
  </w:style>
  <w:style w:type="character" w:styleId="PageNumber">
    <w:name w:val="page number"/>
    <w:uiPriority w:val="99"/>
    <w:rsid w:val="009E480B"/>
    <w:rPr>
      <w:rFonts w:asciiTheme="minorHAnsi" w:hAnsiTheme="minorHAnsi"/>
      <w:color w:val="auto"/>
      <w:sz w:val="20"/>
    </w:rPr>
  </w:style>
  <w:style w:type="character" w:customStyle="1" w:styleId="ListBulletChar">
    <w:name w:val="List Bullet Char"/>
    <w:link w:val="ListBullet"/>
    <w:uiPriority w:val="29"/>
    <w:rsid w:val="00004761"/>
    <w:rPr>
      <w:rFonts w:cs="Times New Roman"/>
      <w:sz w:val="24"/>
      <w:szCs w:val="20"/>
      <w:lang w:eastAsia="en-GB"/>
    </w:rPr>
  </w:style>
  <w:style w:type="character" w:customStyle="1" w:styleId="ListNumberChar">
    <w:name w:val="List Number Char"/>
    <w:link w:val="ListNumber"/>
    <w:uiPriority w:val="19"/>
    <w:rsid w:val="00004761"/>
    <w:rPr>
      <w:rFonts w:cs="Times New Roman"/>
      <w:sz w:val="24"/>
      <w:szCs w:val="20"/>
    </w:rPr>
  </w:style>
  <w:style w:type="table" w:styleId="TableGrid">
    <w:name w:val="Table Grid"/>
    <w:basedOn w:val="TableNormal"/>
    <w:rsid w:val="006D4E28"/>
    <w:pPr>
      <w:spacing w:before="40" w:after="40" w:line="240" w:lineRule="atLeast"/>
      <w:ind w:left="57" w:right="57"/>
    </w:pPr>
    <w:rPr>
      <w:rFonts w:cs="Times New Roman"/>
      <w:sz w:val="24"/>
      <w:szCs w:val="20"/>
      <w:lang w:eastAsia="en-NZ"/>
    </w:rPr>
    <w:tblPr>
      <w:tblInd w:w="113" w:type="dxa"/>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
    <w:tcPr>
      <w:shd w:val="clear" w:color="auto" w:fill="auto"/>
    </w:tcPr>
    <w:tblStylePr w:type="firstRow">
      <w:pPr>
        <w:wordWrap/>
        <w:spacing w:beforeLines="0" w:beforeAutospacing="0" w:afterLines="0" w:afterAutospacing="0"/>
      </w:pPr>
      <w:rPr>
        <w:rFonts w:asciiTheme="minorHAnsi" w:hAnsiTheme="minorHAnsi"/>
        <w:b w:val="0"/>
        <w:caps w:val="0"/>
        <w:smallCaps w:val="0"/>
        <w:sz w:val="24"/>
      </w:rPr>
      <w:tblPr/>
      <w:tcPr>
        <w:tcBorders>
          <w:top w:val="single" w:sz="4" w:space="0" w:color="B2B2B2"/>
          <w:left w:val="single" w:sz="4" w:space="0" w:color="B2B2B2"/>
          <w:bottom w:val="single" w:sz="4" w:space="0" w:color="B2B2B2"/>
          <w:right w:val="single" w:sz="4" w:space="0" w:color="B2B2B2"/>
          <w:insideH w:val="single" w:sz="4" w:space="0" w:color="B2B2B2"/>
          <w:insideV w:val="single" w:sz="4" w:space="0" w:color="B2B2B2"/>
        </w:tcBorders>
        <w:shd w:val="clear" w:color="auto" w:fill="auto"/>
      </w:tcPr>
    </w:tblStylePr>
  </w:style>
  <w:style w:type="paragraph" w:styleId="ListBullet2">
    <w:name w:val="List Bullet 2"/>
    <w:basedOn w:val="ListBullet"/>
    <w:uiPriority w:val="29"/>
    <w:qFormat/>
    <w:rsid w:val="00004761"/>
    <w:pPr>
      <w:numPr>
        <w:ilvl w:val="1"/>
      </w:numPr>
      <w:spacing w:before="60" w:after="60"/>
    </w:pPr>
  </w:style>
  <w:style w:type="paragraph" w:styleId="ListBullet3">
    <w:name w:val="List Bullet 3"/>
    <w:basedOn w:val="ListBullet2"/>
    <w:uiPriority w:val="29"/>
    <w:qFormat/>
    <w:rsid w:val="00004761"/>
    <w:pPr>
      <w:numPr>
        <w:ilvl w:val="2"/>
      </w:numPr>
    </w:pPr>
  </w:style>
  <w:style w:type="paragraph" w:styleId="TOC1">
    <w:name w:val="toc 1"/>
    <w:next w:val="BodyText"/>
    <w:uiPriority w:val="74"/>
    <w:rsid w:val="001E724F"/>
    <w:pPr>
      <w:tabs>
        <w:tab w:val="right" w:leader="dot" w:pos="8505"/>
      </w:tabs>
      <w:spacing w:before="240" w:after="80" w:line="240" w:lineRule="atLeast"/>
    </w:pPr>
    <w:rPr>
      <w:rFonts w:cs="Times New Roman"/>
      <w:color w:val="414141"/>
      <w:sz w:val="28"/>
      <w:szCs w:val="24"/>
    </w:rPr>
  </w:style>
  <w:style w:type="paragraph" w:styleId="TOC2">
    <w:name w:val="toc 2"/>
    <w:next w:val="BodyText"/>
    <w:uiPriority w:val="74"/>
    <w:rsid w:val="001E724F"/>
    <w:pPr>
      <w:tabs>
        <w:tab w:val="right" w:leader="dot" w:pos="8505"/>
      </w:tabs>
      <w:spacing w:before="60" w:after="60" w:line="240" w:lineRule="atLeast"/>
      <w:ind w:left="284"/>
    </w:pPr>
    <w:rPr>
      <w:rFonts w:cs="Times New Roman"/>
      <w:color w:val="414141"/>
      <w:sz w:val="24"/>
      <w:szCs w:val="24"/>
    </w:rPr>
  </w:style>
  <w:style w:type="paragraph" w:styleId="ListContinue">
    <w:name w:val="List Continue"/>
    <w:basedOn w:val="BodyText"/>
    <w:uiPriority w:val="30"/>
    <w:qFormat/>
    <w:rsid w:val="00004761"/>
    <w:pPr>
      <w:spacing w:before="160" w:after="100"/>
      <w:ind w:left="567"/>
    </w:pPr>
    <w:rPr>
      <w:rFonts w:cs="Times New Roman"/>
      <w:color w:val="auto"/>
      <w:szCs w:val="20"/>
    </w:rPr>
  </w:style>
  <w:style w:type="paragraph" w:styleId="ListContinue2">
    <w:name w:val="List Continue 2"/>
    <w:basedOn w:val="BodyText"/>
    <w:uiPriority w:val="30"/>
    <w:qFormat/>
    <w:rsid w:val="00004761"/>
    <w:pPr>
      <w:spacing w:before="100" w:after="100"/>
      <w:ind w:left="992"/>
    </w:pPr>
    <w:rPr>
      <w:rFonts w:cs="Times New Roman"/>
      <w:color w:val="auto"/>
      <w:szCs w:val="20"/>
    </w:rPr>
  </w:style>
  <w:style w:type="paragraph" w:styleId="ListNumber2">
    <w:name w:val="List Number 2"/>
    <w:basedOn w:val="ListNumber"/>
    <w:uiPriority w:val="19"/>
    <w:qFormat/>
    <w:rsid w:val="00004761"/>
    <w:pPr>
      <w:numPr>
        <w:ilvl w:val="1"/>
      </w:numPr>
      <w:spacing w:before="60" w:after="60"/>
    </w:pPr>
  </w:style>
  <w:style w:type="paragraph" w:styleId="ListNumber3">
    <w:name w:val="List Number 3"/>
    <w:basedOn w:val="ListNumber2"/>
    <w:uiPriority w:val="19"/>
    <w:qFormat/>
    <w:rsid w:val="00004761"/>
    <w:pPr>
      <w:numPr>
        <w:ilvl w:val="2"/>
      </w:numPr>
    </w:pPr>
  </w:style>
  <w:style w:type="paragraph" w:styleId="ListContinue3">
    <w:name w:val="List Continue 3"/>
    <w:basedOn w:val="BodyText"/>
    <w:uiPriority w:val="30"/>
    <w:rsid w:val="00004761"/>
    <w:pPr>
      <w:spacing w:before="100" w:after="100"/>
      <w:ind w:left="1418"/>
    </w:pPr>
    <w:rPr>
      <w:rFonts w:cs="Times New Roman"/>
      <w:color w:val="auto"/>
      <w:szCs w:val="20"/>
    </w:rPr>
  </w:style>
  <w:style w:type="paragraph" w:styleId="TOCHeading">
    <w:name w:val="TOC Heading"/>
    <w:basedOn w:val="Heading1"/>
    <w:next w:val="BodyText"/>
    <w:uiPriority w:val="74"/>
    <w:qFormat/>
    <w:rsid w:val="00004761"/>
    <w:pPr>
      <w:spacing w:before="600" w:line="240" w:lineRule="atLeast"/>
      <w:outlineLvl w:val="9"/>
    </w:pPr>
  </w:style>
  <w:style w:type="paragraph" w:styleId="Caption">
    <w:name w:val="caption"/>
    <w:basedOn w:val="BodyText"/>
    <w:next w:val="BodyText"/>
    <w:uiPriority w:val="59"/>
    <w:qFormat/>
    <w:rsid w:val="00004761"/>
    <w:pPr>
      <w:jc w:val="center"/>
    </w:pPr>
    <w:rPr>
      <w:b/>
      <w:bCs/>
      <w:szCs w:val="20"/>
    </w:rPr>
  </w:style>
  <w:style w:type="character" w:styleId="FollowedHyperlink">
    <w:name w:val="FollowedHyperlink"/>
    <w:basedOn w:val="DefaultParagraphFont"/>
    <w:uiPriority w:val="69"/>
    <w:rsid w:val="00004761"/>
    <w:rPr>
      <w:rFonts w:ascii="Arial" w:hAnsi="Arial"/>
      <w:color w:val="BFBFBF" w:themeColor="background1" w:themeShade="BF"/>
      <w:sz w:val="20"/>
      <w:u w:val="single"/>
    </w:rPr>
  </w:style>
  <w:style w:type="character" w:styleId="Strong">
    <w:name w:val="Strong"/>
    <w:basedOn w:val="DefaultParagraphFont"/>
    <w:uiPriority w:val="22"/>
    <w:semiHidden/>
    <w:qFormat/>
    <w:rsid w:val="008E7BCD"/>
    <w:rPr>
      <w:b/>
      <w:bCs/>
    </w:rPr>
  </w:style>
  <w:style w:type="paragraph" w:styleId="ListParagraph">
    <w:name w:val="List Paragraph"/>
    <w:basedOn w:val="Normal"/>
    <w:uiPriority w:val="34"/>
    <w:semiHidden/>
    <w:qFormat/>
    <w:rsid w:val="00310275"/>
    <w:pPr>
      <w:ind w:left="720"/>
      <w:contextualSpacing/>
    </w:pPr>
  </w:style>
  <w:style w:type="paragraph" w:styleId="FootnoteText">
    <w:name w:val="footnote text"/>
    <w:basedOn w:val="Normal"/>
    <w:link w:val="FootnoteTextChar"/>
    <w:uiPriority w:val="99"/>
    <w:semiHidden/>
    <w:unhideWhenUsed/>
    <w:rsid w:val="00E77AEE"/>
    <w:pPr>
      <w:spacing w:after="0" w:line="240" w:lineRule="auto"/>
    </w:pPr>
  </w:style>
  <w:style w:type="character" w:customStyle="1" w:styleId="FootnoteTextChar">
    <w:name w:val="Footnote Text Char"/>
    <w:basedOn w:val="DefaultParagraphFont"/>
    <w:link w:val="FootnoteText"/>
    <w:uiPriority w:val="99"/>
    <w:semiHidden/>
    <w:rsid w:val="00E77AEE"/>
    <w:rPr>
      <w:rFonts w:ascii="Arial" w:eastAsia="Cambria" w:hAnsi="Arial" w:cs="Times New Roman"/>
      <w:color w:val="000000"/>
      <w:sz w:val="20"/>
      <w:szCs w:val="20"/>
      <w:lang w:val="en-AU"/>
    </w:rPr>
  </w:style>
  <w:style w:type="character" w:styleId="FootnoteReference">
    <w:name w:val="footnote reference"/>
    <w:basedOn w:val="DefaultParagraphFont"/>
    <w:uiPriority w:val="99"/>
    <w:semiHidden/>
    <w:unhideWhenUsed/>
    <w:rsid w:val="00D57441"/>
    <w:rPr>
      <w:vertAlign w:val="superscript"/>
    </w:rPr>
  </w:style>
  <w:style w:type="table" w:customStyle="1" w:styleId="TableGrid1">
    <w:name w:val="Table Grid1"/>
    <w:basedOn w:val="TableNormal"/>
    <w:next w:val="TableGrid"/>
    <w:rsid w:val="00B86616"/>
    <w:pPr>
      <w:spacing w:before="40" w:after="40" w:line="240" w:lineRule="atLeast"/>
      <w:ind w:left="57" w:right="57"/>
    </w:pPr>
    <w:rPr>
      <w:rFonts w:cs="Times New Roman"/>
      <w:sz w:val="24"/>
      <w:szCs w:val="20"/>
      <w:lang w:eastAsia="en-NZ"/>
    </w:rPr>
    <w:tblPr>
      <w:tblInd w:w="113" w:type="dxa"/>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
    <w:tcPr>
      <w:shd w:val="clear" w:color="auto" w:fill="auto"/>
    </w:tcPr>
    <w:tblStylePr w:type="firstRow">
      <w:pPr>
        <w:wordWrap/>
        <w:spacing w:beforeLines="0" w:beforeAutospacing="0" w:afterLines="0" w:afterAutospacing="0"/>
      </w:pPr>
      <w:rPr>
        <w:rFonts w:asciiTheme="minorHAnsi" w:hAnsiTheme="minorHAnsi"/>
        <w:b w:val="0"/>
        <w:caps w:val="0"/>
        <w:smallCaps w:val="0"/>
        <w:sz w:val="24"/>
      </w:rPr>
      <w:tblPr/>
      <w:tcPr>
        <w:tcBorders>
          <w:top w:val="single" w:sz="4" w:space="0" w:color="B2B2B2"/>
          <w:left w:val="single" w:sz="4" w:space="0" w:color="B2B2B2"/>
          <w:bottom w:val="single" w:sz="4" w:space="0" w:color="B2B2B2"/>
          <w:right w:val="single" w:sz="4" w:space="0" w:color="B2B2B2"/>
          <w:insideH w:val="single" w:sz="4" w:space="0" w:color="B2B2B2"/>
          <w:insideV w:val="single" w:sz="4" w:space="0" w:color="B2B2B2"/>
        </w:tcBorders>
        <w:shd w:val="clear" w:color="auto" w:fill="auto"/>
      </w:tcPr>
    </w:tblStylePr>
  </w:style>
  <w:style w:type="paragraph" w:styleId="BalloonText">
    <w:name w:val="Balloon Text"/>
    <w:basedOn w:val="Normal"/>
    <w:link w:val="BalloonTextChar"/>
    <w:semiHidden/>
    <w:unhideWhenUsed/>
    <w:rsid w:val="00F54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54898"/>
    <w:rPr>
      <w:rFonts w:ascii="Tahoma" w:eastAsia="Cambria" w:hAnsi="Tahoma" w:cs="Tahoma"/>
      <w:color w:val="000000"/>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NZ" w:eastAsia="en-US" w:bidi="ar-SA"/>
      </w:rPr>
    </w:rPrDefault>
    <w:pPrDefault>
      <w:pPr>
        <w:spacing w:after="200" w:line="0" w:lineRule="auto"/>
      </w:pPr>
    </w:pPrDefault>
  </w:docDefaults>
  <w:latentStyles w:defLockedState="0" w:defUIPriority="99" w:defSemiHidden="1" w:defUnhideWhenUsed="1" w:defQFormat="0" w:count="267">
    <w:lsdException w:name="Normal" w:semiHidden="0" w:unhideWhenUsed="0"/>
    <w:lsdException w:name="heading 1" w:semiHidden="0" w:uiPriority="4" w:unhideWhenUsed="0" w:qFormat="1"/>
    <w:lsdException w:name="heading 2" w:uiPriority="4" w:qFormat="1"/>
    <w:lsdException w:name="heading 3" w:uiPriority="4" w:qFormat="1"/>
    <w:lsdException w:name="heading 4" w:uiPriority="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74"/>
    <w:lsdException w:name="toc 2" w:uiPriority="74"/>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74" w:qFormat="1"/>
    <w:lsdException w:name="footer" w:uiPriority="74" w:qFormat="1"/>
    <w:lsdException w:name="caption" w:uiPriority="59" w:qFormat="1"/>
    <w:lsdException w:name="List Bullet" w:uiPriority="29" w:qFormat="1"/>
    <w:lsdException w:name="List Number" w:uiPriority="19" w:qFormat="1"/>
    <w:lsdException w:name="List Bullet 2" w:semiHidden="0" w:uiPriority="29" w:unhideWhenUsed="0" w:qFormat="1"/>
    <w:lsdException w:name="List Bullet 3" w:semiHidden="0" w:uiPriority="29" w:unhideWhenUsed="0" w:qFormat="1"/>
    <w:lsdException w:name="List Number 2" w:semiHidden="0" w:uiPriority="19" w:unhideWhenUsed="0" w:qFormat="1"/>
    <w:lsdException w:name="List Number 3" w:semiHidden="0" w:uiPriority="19" w:unhideWhenUsed="0" w:qFormat="1"/>
    <w:lsdException w:name="Title" w:uiPriority="79" w:unhideWhenUsed="0" w:qFormat="1"/>
    <w:lsdException w:name="Default Paragraph Font" w:uiPriority="1"/>
    <w:lsdException w:name="Body Text" w:semiHidden="0" w:uiPriority="0" w:unhideWhenUsed="0" w:qFormat="1"/>
    <w:lsdException w:name="List Continue" w:semiHidden="0" w:uiPriority="30" w:unhideWhenUsed="0" w:qFormat="1"/>
    <w:lsdException w:name="List Continue 2" w:semiHidden="0" w:uiPriority="30" w:unhideWhenUsed="0" w:qFormat="1"/>
    <w:lsdException w:name="List Continue 3" w:semiHidden="0" w:uiPriority="30" w:unhideWhenUsed="0"/>
    <w:lsdException w:name="Subtitle" w:uiPriority="79" w:unhideWhenUsed="0" w:qFormat="1"/>
    <w:lsdException w:name="Hyperlink" w:uiPriority="69"/>
    <w:lsdException w:name="FollowedHyperlink" w:uiPriority="69"/>
    <w:lsdException w:name="Strong" w:uiPriority="22" w:unhideWhenUsed="0" w:qFormat="1"/>
    <w:lsdException w:name="Emphasis" w:uiPriority="20" w:unhideWhenUsed="0" w:qFormat="1"/>
    <w:lsdException w:name="Balloon Text"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74" w:qFormat="1"/>
  </w:latentStyles>
  <w:style w:type="paragraph" w:default="1" w:styleId="Normal">
    <w:name w:val="Normal"/>
    <w:uiPriority w:val="99"/>
    <w:rsid w:val="00EF5345"/>
    <w:pPr>
      <w:spacing w:after="120" w:line="240" w:lineRule="exact"/>
    </w:pPr>
    <w:rPr>
      <w:rFonts w:ascii="Arial" w:eastAsia="Cambria" w:hAnsi="Arial" w:cs="Times New Roman"/>
      <w:color w:val="000000"/>
      <w:sz w:val="20"/>
      <w:szCs w:val="20"/>
      <w:lang w:val="en-AU"/>
    </w:rPr>
  </w:style>
  <w:style w:type="paragraph" w:styleId="Heading1">
    <w:name w:val="heading 1"/>
    <w:next w:val="BodyText"/>
    <w:link w:val="Heading1Char"/>
    <w:uiPriority w:val="4"/>
    <w:qFormat/>
    <w:rsid w:val="00336E32"/>
    <w:pPr>
      <w:keepLines/>
      <w:spacing w:before="400" w:line="480" w:lineRule="atLeast"/>
      <w:outlineLvl w:val="0"/>
    </w:pPr>
    <w:rPr>
      <w:rFonts w:ascii="Calibri" w:eastAsia="Arial" w:hAnsi="Calibri" w:cs="Arial"/>
      <w:b/>
      <w:color w:val="323232"/>
      <w:sz w:val="40"/>
      <w:szCs w:val="32"/>
    </w:rPr>
  </w:style>
  <w:style w:type="paragraph" w:styleId="Heading2">
    <w:name w:val="heading 2"/>
    <w:basedOn w:val="Heading1"/>
    <w:next w:val="BodyText"/>
    <w:link w:val="Heading2Char"/>
    <w:uiPriority w:val="4"/>
    <w:qFormat/>
    <w:rsid w:val="00336E32"/>
    <w:pPr>
      <w:keepLines w:val="0"/>
      <w:spacing w:before="300" w:after="100" w:line="420" w:lineRule="atLeast"/>
      <w:outlineLvl w:val="1"/>
    </w:pPr>
    <w:rPr>
      <w:bCs/>
      <w:iCs/>
      <w:sz w:val="32"/>
      <w:szCs w:val="28"/>
    </w:rPr>
  </w:style>
  <w:style w:type="paragraph" w:styleId="Heading3">
    <w:name w:val="heading 3"/>
    <w:basedOn w:val="Heading2"/>
    <w:next w:val="BodyText"/>
    <w:link w:val="Heading3Char"/>
    <w:uiPriority w:val="4"/>
    <w:qFormat/>
    <w:rsid w:val="00004761"/>
    <w:pPr>
      <w:keepNext/>
      <w:keepLines/>
      <w:spacing w:after="120" w:line="300" w:lineRule="atLeast"/>
      <w:outlineLvl w:val="2"/>
    </w:pPr>
    <w:rPr>
      <w:rFonts w:eastAsiaTheme="majorEastAsia"/>
      <w:bCs w:val="0"/>
      <w:sz w:val="26"/>
      <w:szCs w:val="26"/>
    </w:rPr>
  </w:style>
  <w:style w:type="paragraph" w:styleId="Heading4">
    <w:name w:val="heading 4"/>
    <w:basedOn w:val="Heading3"/>
    <w:next w:val="BodyText"/>
    <w:link w:val="Heading4Char"/>
    <w:uiPriority w:val="4"/>
    <w:qFormat/>
    <w:rsid w:val="00004761"/>
    <w:pPr>
      <w:spacing w:before="200"/>
      <w:outlineLvl w:val="3"/>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336E32"/>
    <w:rPr>
      <w:rFonts w:ascii="Calibri" w:eastAsia="Arial" w:hAnsi="Calibri" w:cs="Arial"/>
      <w:b/>
      <w:color w:val="323232"/>
      <w:sz w:val="40"/>
      <w:szCs w:val="32"/>
    </w:rPr>
  </w:style>
  <w:style w:type="paragraph" w:styleId="BodyText">
    <w:name w:val="Body Text"/>
    <w:link w:val="BodyTextChar"/>
    <w:qFormat/>
    <w:rsid w:val="00004761"/>
    <w:pPr>
      <w:keepLines/>
      <w:spacing w:before="120" w:line="240" w:lineRule="atLeast"/>
    </w:pPr>
    <w:rPr>
      <w:rFonts w:cs="Arial"/>
      <w:color w:val="000000" w:themeColor="text1"/>
      <w:sz w:val="24"/>
      <w:szCs w:val="19"/>
    </w:rPr>
  </w:style>
  <w:style w:type="character" w:customStyle="1" w:styleId="BodyTextChar">
    <w:name w:val="Body Text Char"/>
    <w:basedOn w:val="DefaultParagraphFont"/>
    <w:link w:val="BodyText"/>
    <w:rsid w:val="00004761"/>
    <w:rPr>
      <w:rFonts w:cs="Arial"/>
      <w:color w:val="000000" w:themeColor="text1"/>
      <w:sz w:val="24"/>
      <w:szCs w:val="19"/>
    </w:rPr>
  </w:style>
  <w:style w:type="paragraph" w:styleId="Footer">
    <w:name w:val="footer"/>
    <w:link w:val="FooterChar"/>
    <w:uiPriority w:val="74"/>
    <w:qFormat/>
    <w:rsid w:val="00004761"/>
    <w:pPr>
      <w:tabs>
        <w:tab w:val="right" w:pos="9072"/>
      </w:tabs>
      <w:spacing w:after="0" w:line="220" w:lineRule="exact"/>
      <w:ind w:left="1418" w:right="-567"/>
      <w:jc w:val="right"/>
    </w:pPr>
    <w:rPr>
      <w:rFonts w:ascii="Arial" w:hAnsi="Arial" w:cs="Times New Roman"/>
      <w:color w:val="414141"/>
      <w:spacing w:val="-2"/>
      <w:w w:val="105"/>
      <w:sz w:val="16"/>
      <w:szCs w:val="24"/>
    </w:rPr>
  </w:style>
  <w:style w:type="character" w:customStyle="1" w:styleId="FooterChar">
    <w:name w:val="Footer Char"/>
    <w:basedOn w:val="DefaultParagraphFont"/>
    <w:link w:val="Footer"/>
    <w:uiPriority w:val="74"/>
    <w:rsid w:val="00004761"/>
    <w:rPr>
      <w:rFonts w:ascii="Arial" w:hAnsi="Arial" w:cs="Times New Roman"/>
      <w:color w:val="414141"/>
      <w:spacing w:val="-2"/>
      <w:w w:val="105"/>
      <w:sz w:val="16"/>
      <w:szCs w:val="24"/>
    </w:rPr>
  </w:style>
  <w:style w:type="paragraph" w:styleId="Header">
    <w:name w:val="header"/>
    <w:link w:val="HeaderChar"/>
    <w:uiPriority w:val="74"/>
    <w:qFormat/>
    <w:rsid w:val="00004761"/>
    <w:pPr>
      <w:tabs>
        <w:tab w:val="right" w:pos="8789"/>
      </w:tabs>
      <w:spacing w:after="0" w:line="240" w:lineRule="auto"/>
      <w:jc w:val="right"/>
    </w:pPr>
    <w:rPr>
      <w:rFonts w:ascii="Arial" w:hAnsi="Arial" w:cs="Times New Roman"/>
      <w:spacing w:val="6"/>
      <w:w w:val="130"/>
      <w:sz w:val="16"/>
      <w:szCs w:val="16"/>
      <w:lang w:val="en-US"/>
    </w:rPr>
  </w:style>
  <w:style w:type="character" w:customStyle="1" w:styleId="HeaderChar">
    <w:name w:val="Header Char"/>
    <w:basedOn w:val="DefaultParagraphFont"/>
    <w:link w:val="Header"/>
    <w:uiPriority w:val="74"/>
    <w:rsid w:val="00004761"/>
    <w:rPr>
      <w:rFonts w:ascii="Arial" w:hAnsi="Arial" w:cs="Times New Roman"/>
      <w:spacing w:val="6"/>
      <w:w w:val="130"/>
      <w:sz w:val="16"/>
      <w:szCs w:val="16"/>
      <w:lang w:val="en-US"/>
    </w:rPr>
  </w:style>
  <w:style w:type="character" w:customStyle="1" w:styleId="Heading2Char">
    <w:name w:val="Heading 2 Char"/>
    <w:basedOn w:val="DefaultParagraphFont"/>
    <w:link w:val="Heading2"/>
    <w:uiPriority w:val="4"/>
    <w:rsid w:val="00336E32"/>
    <w:rPr>
      <w:rFonts w:ascii="Calibri" w:eastAsia="Arial" w:hAnsi="Calibri" w:cs="Arial"/>
      <w:b/>
      <w:bCs/>
      <w:iCs/>
      <w:color w:val="323232"/>
      <w:sz w:val="32"/>
      <w:szCs w:val="28"/>
    </w:rPr>
  </w:style>
  <w:style w:type="character" w:customStyle="1" w:styleId="Heading3Char">
    <w:name w:val="Heading 3 Char"/>
    <w:basedOn w:val="DefaultParagraphFont"/>
    <w:link w:val="Heading3"/>
    <w:uiPriority w:val="4"/>
    <w:rsid w:val="00004761"/>
    <w:rPr>
      <w:rFonts w:ascii="Calibri" w:eastAsiaTheme="majorEastAsia" w:hAnsi="Calibri" w:cs="Arial"/>
      <w:b/>
      <w:iCs/>
      <w:color w:val="323232"/>
      <w:sz w:val="26"/>
      <w:szCs w:val="26"/>
    </w:rPr>
  </w:style>
  <w:style w:type="character" w:customStyle="1" w:styleId="Heading4Char">
    <w:name w:val="Heading 4 Char"/>
    <w:basedOn w:val="DefaultParagraphFont"/>
    <w:link w:val="Heading4"/>
    <w:uiPriority w:val="4"/>
    <w:rsid w:val="00004761"/>
    <w:rPr>
      <w:rFonts w:ascii="Calibri" w:eastAsiaTheme="majorEastAsia" w:hAnsi="Calibri" w:cs="Arial"/>
      <w:b/>
      <w:iCs/>
      <w:color w:val="323232"/>
      <w:szCs w:val="26"/>
    </w:rPr>
  </w:style>
  <w:style w:type="character" w:styleId="Hyperlink">
    <w:name w:val="Hyperlink"/>
    <w:basedOn w:val="DefaultParagraphFont"/>
    <w:uiPriority w:val="69"/>
    <w:rsid w:val="00004761"/>
    <w:rPr>
      <w:rFonts w:ascii="Arial" w:hAnsi="Arial"/>
      <w:color w:val="A6A6A6" w:themeColor="background1" w:themeShade="A6"/>
      <w:sz w:val="20"/>
      <w:u w:val="single"/>
    </w:rPr>
  </w:style>
  <w:style w:type="paragraph" w:styleId="ListBullet">
    <w:name w:val="List Bullet"/>
    <w:basedOn w:val="BodyText"/>
    <w:link w:val="ListBulletChar"/>
    <w:uiPriority w:val="29"/>
    <w:qFormat/>
    <w:rsid w:val="00004761"/>
    <w:pPr>
      <w:numPr>
        <w:numId w:val="5"/>
      </w:numPr>
      <w:spacing w:before="160" w:after="100"/>
      <w:contextualSpacing/>
    </w:pPr>
    <w:rPr>
      <w:rFonts w:cs="Times New Roman"/>
      <w:color w:val="auto"/>
      <w:szCs w:val="20"/>
      <w:lang w:eastAsia="en-GB"/>
    </w:rPr>
  </w:style>
  <w:style w:type="paragraph" w:styleId="ListNumber">
    <w:name w:val="List Number"/>
    <w:basedOn w:val="BodyText"/>
    <w:link w:val="ListNumberChar"/>
    <w:uiPriority w:val="19"/>
    <w:qFormat/>
    <w:rsid w:val="00004761"/>
    <w:pPr>
      <w:numPr>
        <w:numId w:val="8"/>
      </w:numPr>
      <w:spacing w:before="160" w:after="100"/>
      <w:contextualSpacing/>
    </w:pPr>
    <w:rPr>
      <w:rFonts w:cs="Times New Roman"/>
      <w:color w:val="auto"/>
      <w:szCs w:val="20"/>
    </w:rPr>
  </w:style>
  <w:style w:type="character" w:styleId="PageNumber">
    <w:name w:val="page number"/>
    <w:uiPriority w:val="99"/>
    <w:rsid w:val="009E480B"/>
    <w:rPr>
      <w:rFonts w:asciiTheme="minorHAnsi" w:hAnsiTheme="minorHAnsi"/>
      <w:color w:val="auto"/>
      <w:sz w:val="20"/>
    </w:rPr>
  </w:style>
  <w:style w:type="character" w:customStyle="1" w:styleId="ListBulletChar">
    <w:name w:val="List Bullet Char"/>
    <w:link w:val="ListBullet"/>
    <w:uiPriority w:val="29"/>
    <w:rsid w:val="00004761"/>
    <w:rPr>
      <w:rFonts w:cs="Times New Roman"/>
      <w:sz w:val="24"/>
      <w:szCs w:val="20"/>
      <w:lang w:eastAsia="en-GB"/>
    </w:rPr>
  </w:style>
  <w:style w:type="character" w:customStyle="1" w:styleId="ListNumberChar">
    <w:name w:val="List Number Char"/>
    <w:link w:val="ListNumber"/>
    <w:uiPriority w:val="19"/>
    <w:rsid w:val="00004761"/>
    <w:rPr>
      <w:rFonts w:cs="Times New Roman"/>
      <w:sz w:val="24"/>
      <w:szCs w:val="20"/>
    </w:rPr>
  </w:style>
  <w:style w:type="table" w:styleId="TableGrid">
    <w:name w:val="Table Grid"/>
    <w:basedOn w:val="TableNormal"/>
    <w:rsid w:val="006D4E28"/>
    <w:pPr>
      <w:spacing w:before="40" w:after="40" w:line="240" w:lineRule="atLeast"/>
      <w:ind w:left="57" w:right="57"/>
    </w:pPr>
    <w:rPr>
      <w:rFonts w:cs="Times New Roman"/>
      <w:sz w:val="24"/>
      <w:szCs w:val="20"/>
      <w:lang w:eastAsia="en-NZ"/>
    </w:rPr>
    <w:tblPr>
      <w:tblInd w:w="113" w:type="dxa"/>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
    <w:tcPr>
      <w:shd w:val="clear" w:color="auto" w:fill="auto"/>
    </w:tcPr>
    <w:tblStylePr w:type="firstRow">
      <w:pPr>
        <w:wordWrap/>
        <w:spacing w:beforeLines="0" w:beforeAutospacing="0" w:afterLines="0" w:afterAutospacing="0"/>
      </w:pPr>
      <w:rPr>
        <w:rFonts w:asciiTheme="minorHAnsi" w:hAnsiTheme="minorHAnsi"/>
        <w:b w:val="0"/>
        <w:caps w:val="0"/>
        <w:smallCaps w:val="0"/>
        <w:sz w:val="24"/>
      </w:rPr>
      <w:tblPr/>
      <w:tcPr>
        <w:tcBorders>
          <w:top w:val="single" w:sz="4" w:space="0" w:color="B2B2B2"/>
          <w:left w:val="single" w:sz="4" w:space="0" w:color="B2B2B2"/>
          <w:bottom w:val="single" w:sz="4" w:space="0" w:color="B2B2B2"/>
          <w:right w:val="single" w:sz="4" w:space="0" w:color="B2B2B2"/>
          <w:insideH w:val="single" w:sz="4" w:space="0" w:color="B2B2B2"/>
          <w:insideV w:val="single" w:sz="4" w:space="0" w:color="B2B2B2"/>
        </w:tcBorders>
        <w:shd w:val="clear" w:color="auto" w:fill="auto"/>
      </w:tcPr>
    </w:tblStylePr>
  </w:style>
  <w:style w:type="paragraph" w:styleId="ListBullet2">
    <w:name w:val="List Bullet 2"/>
    <w:basedOn w:val="ListBullet"/>
    <w:uiPriority w:val="29"/>
    <w:qFormat/>
    <w:rsid w:val="00004761"/>
    <w:pPr>
      <w:numPr>
        <w:ilvl w:val="1"/>
      </w:numPr>
      <w:spacing w:before="60" w:after="60"/>
    </w:pPr>
  </w:style>
  <w:style w:type="paragraph" w:styleId="ListBullet3">
    <w:name w:val="List Bullet 3"/>
    <w:basedOn w:val="ListBullet2"/>
    <w:uiPriority w:val="29"/>
    <w:qFormat/>
    <w:rsid w:val="00004761"/>
    <w:pPr>
      <w:numPr>
        <w:ilvl w:val="2"/>
      </w:numPr>
    </w:pPr>
  </w:style>
  <w:style w:type="paragraph" w:styleId="TOC1">
    <w:name w:val="toc 1"/>
    <w:next w:val="BodyText"/>
    <w:uiPriority w:val="74"/>
    <w:rsid w:val="001E724F"/>
    <w:pPr>
      <w:tabs>
        <w:tab w:val="right" w:leader="dot" w:pos="8505"/>
      </w:tabs>
      <w:spacing w:before="240" w:after="80" w:line="240" w:lineRule="atLeast"/>
    </w:pPr>
    <w:rPr>
      <w:rFonts w:cs="Times New Roman"/>
      <w:color w:val="414141"/>
      <w:sz w:val="28"/>
      <w:szCs w:val="24"/>
    </w:rPr>
  </w:style>
  <w:style w:type="paragraph" w:styleId="TOC2">
    <w:name w:val="toc 2"/>
    <w:next w:val="BodyText"/>
    <w:uiPriority w:val="74"/>
    <w:rsid w:val="001E724F"/>
    <w:pPr>
      <w:tabs>
        <w:tab w:val="right" w:leader="dot" w:pos="8505"/>
      </w:tabs>
      <w:spacing w:before="60" w:after="60" w:line="240" w:lineRule="atLeast"/>
      <w:ind w:left="284"/>
    </w:pPr>
    <w:rPr>
      <w:rFonts w:cs="Times New Roman"/>
      <w:color w:val="414141"/>
      <w:sz w:val="24"/>
      <w:szCs w:val="24"/>
    </w:rPr>
  </w:style>
  <w:style w:type="paragraph" w:styleId="ListContinue">
    <w:name w:val="List Continue"/>
    <w:basedOn w:val="BodyText"/>
    <w:uiPriority w:val="30"/>
    <w:qFormat/>
    <w:rsid w:val="00004761"/>
    <w:pPr>
      <w:spacing w:before="160" w:after="100"/>
      <w:ind w:left="567"/>
    </w:pPr>
    <w:rPr>
      <w:rFonts w:cs="Times New Roman"/>
      <w:color w:val="auto"/>
      <w:szCs w:val="20"/>
    </w:rPr>
  </w:style>
  <w:style w:type="paragraph" w:styleId="ListContinue2">
    <w:name w:val="List Continue 2"/>
    <w:basedOn w:val="BodyText"/>
    <w:uiPriority w:val="30"/>
    <w:qFormat/>
    <w:rsid w:val="00004761"/>
    <w:pPr>
      <w:spacing w:before="100" w:after="100"/>
      <w:ind w:left="992"/>
    </w:pPr>
    <w:rPr>
      <w:rFonts w:cs="Times New Roman"/>
      <w:color w:val="auto"/>
      <w:szCs w:val="20"/>
    </w:rPr>
  </w:style>
  <w:style w:type="paragraph" w:styleId="ListNumber2">
    <w:name w:val="List Number 2"/>
    <w:basedOn w:val="ListNumber"/>
    <w:uiPriority w:val="19"/>
    <w:qFormat/>
    <w:rsid w:val="00004761"/>
    <w:pPr>
      <w:numPr>
        <w:ilvl w:val="1"/>
      </w:numPr>
      <w:spacing w:before="60" w:after="60"/>
    </w:pPr>
  </w:style>
  <w:style w:type="paragraph" w:styleId="ListNumber3">
    <w:name w:val="List Number 3"/>
    <w:basedOn w:val="ListNumber2"/>
    <w:uiPriority w:val="19"/>
    <w:qFormat/>
    <w:rsid w:val="00004761"/>
    <w:pPr>
      <w:numPr>
        <w:ilvl w:val="2"/>
      </w:numPr>
    </w:pPr>
  </w:style>
  <w:style w:type="paragraph" w:styleId="ListContinue3">
    <w:name w:val="List Continue 3"/>
    <w:basedOn w:val="BodyText"/>
    <w:uiPriority w:val="30"/>
    <w:rsid w:val="00004761"/>
    <w:pPr>
      <w:spacing w:before="100" w:after="100"/>
      <w:ind w:left="1418"/>
    </w:pPr>
    <w:rPr>
      <w:rFonts w:cs="Times New Roman"/>
      <w:color w:val="auto"/>
      <w:szCs w:val="20"/>
    </w:rPr>
  </w:style>
  <w:style w:type="paragraph" w:styleId="TOCHeading">
    <w:name w:val="TOC Heading"/>
    <w:basedOn w:val="Heading1"/>
    <w:next w:val="BodyText"/>
    <w:uiPriority w:val="74"/>
    <w:qFormat/>
    <w:rsid w:val="00004761"/>
    <w:pPr>
      <w:spacing w:before="600" w:line="240" w:lineRule="atLeast"/>
      <w:outlineLvl w:val="9"/>
    </w:pPr>
  </w:style>
  <w:style w:type="paragraph" w:styleId="Caption">
    <w:name w:val="caption"/>
    <w:basedOn w:val="BodyText"/>
    <w:next w:val="BodyText"/>
    <w:uiPriority w:val="59"/>
    <w:qFormat/>
    <w:rsid w:val="00004761"/>
    <w:pPr>
      <w:jc w:val="center"/>
    </w:pPr>
    <w:rPr>
      <w:b/>
      <w:bCs/>
      <w:szCs w:val="20"/>
    </w:rPr>
  </w:style>
  <w:style w:type="character" w:styleId="FollowedHyperlink">
    <w:name w:val="FollowedHyperlink"/>
    <w:basedOn w:val="DefaultParagraphFont"/>
    <w:uiPriority w:val="69"/>
    <w:rsid w:val="00004761"/>
    <w:rPr>
      <w:rFonts w:ascii="Arial" w:hAnsi="Arial"/>
      <w:color w:val="BFBFBF" w:themeColor="background1" w:themeShade="BF"/>
      <w:sz w:val="20"/>
      <w:u w:val="single"/>
    </w:rPr>
  </w:style>
  <w:style w:type="character" w:styleId="Strong">
    <w:name w:val="Strong"/>
    <w:basedOn w:val="DefaultParagraphFont"/>
    <w:uiPriority w:val="22"/>
    <w:semiHidden/>
    <w:qFormat/>
    <w:rsid w:val="008E7BCD"/>
    <w:rPr>
      <w:b/>
      <w:bCs/>
    </w:rPr>
  </w:style>
  <w:style w:type="paragraph" w:styleId="ListParagraph">
    <w:name w:val="List Paragraph"/>
    <w:basedOn w:val="Normal"/>
    <w:uiPriority w:val="34"/>
    <w:semiHidden/>
    <w:qFormat/>
    <w:rsid w:val="00310275"/>
    <w:pPr>
      <w:ind w:left="720"/>
      <w:contextualSpacing/>
    </w:pPr>
  </w:style>
  <w:style w:type="paragraph" w:styleId="FootnoteText">
    <w:name w:val="footnote text"/>
    <w:basedOn w:val="Normal"/>
    <w:link w:val="FootnoteTextChar"/>
    <w:uiPriority w:val="99"/>
    <w:semiHidden/>
    <w:unhideWhenUsed/>
    <w:rsid w:val="00E77AEE"/>
    <w:pPr>
      <w:spacing w:after="0" w:line="240" w:lineRule="auto"/>
    </w:pPr>
  </w:style>
  <w:style w:type="character" w:customStyle="1" w:styleId="FootnoteTextChar">
    <w:name w:val="Footnote Text Char"/>
    <w:basedOn w:val="DefaultParagraphFont"/>
    <w:link w:val="FootnoteText"/>
    <w:uiPriority w:val="99"/>
    <w:semiHidden/>
    <w:rsid w:val="00E77AEE"/>
    <w:rPr>
      <w:rFonts w:ascii="Arial" w:eastAsia="Cambria" w:hAnsi="Arial" w:cs="Times New Roman"/>
      <w:color w:val="000000"/>
      <w:sz w:val="20"/>
      <w:szCs w:val="20"/>
      <w:lang w:val="en-AU"/>
    </w:rPr>
  </w:style>
  <w:style w:type="character" w:styleId="FootnoteReference">
    <w:name w:val="footnote reference"/>
    <w:basedOn w:val="DefaultParagraphFont"/>
    <w:uiPriority w:val="99"/>
    <w:semiHidden/>
    <w:unhideWhenUsed/>
    <w:rsid w:val="00D57441"/>
    <w:rPr>
      <w:vertAlign w:val="superscript"/>
    </w:rPr>
  </w:style>
  <w:style w:type="table" w:customStyle="1" w:styleId="TableGrid1">
    <w:name w:val="Table Grid1"/>
    <w:basedOn w:val="TableNormal"/>
    <w:next w:val="TableGrid"/>
    <w:rsid w:val="00B86616"/>
    <w:pPr>
      <w:spacing w:before="40" w:after="40" w:line="240" w:lineRule="atLeast"/>
      <w:ind w:left="57" w:right="57"/>
    </w:pPr>
    <w:rPr>
      <w:rFonts w:cs="Times New Roman"/>
      <w:sz w:val="24"/>
      <w:szCs w:val="20"/>
      <w:lang w:eastAsia="en-NZ"/>
    </w:rPr>
    <w:tblPr>
      <w:tblInd w:w="113" w:type="dxa"/>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
    <w:tcPr>
      <w:shd w:val="clear" w:color="auto" w:fill="auto"/>
    </w:tcPr>
    <w:tblStylePr w:type="firstRow">
      <w:pPr>
        <w:wordWrap/>
        <w:spacing w:beforeLines="0" w:beforeAutospacing="0" w:afterLines="0" w:afterAutospacing="0"/>
      </w:pPr>
      <w:rPr>
        <w:rFonts w:asciiTheme="minorHAnsi" w:hAnsiTheme="minorHAnsi"/>
        <w:b w:val="0"/>
        <w:caps w:val="0"/>
        <w:smallCaps w:val="0"/>
        <w:sz w:val="24"/>
      </w:rPr>
      <w:tblPr/>
      <w:tcPr>
        <w:tcBorders>
          <w:top w:val="single" w:sz="4" w:space="0" w:color="B2B2B2"/>
          <w:left w:val="single" w:sz="4" w:space="0" w:color="B2B2B2"/>
          <w:bottom w:val="single" w:sz="4" w:space="0" w:color="B2B2B2"/>
          <w:right w:val="single" w:sz="4" w:space="0" w:color="B2B2B2"/>
          <w:insideH w:val="single" w:sz="4" w:space="0" w:color="B2B2B2"/>
          <w:insideV w:val="single" w:sz="4" w:space="0" w:color="B2B2B2"/>
        </w:tcBorders>
        <w:shd w:val="clear" w:color="auto" w:fill="auto"/>
      </w:tcPr>
    </w:tblStylePr>
  </w:style>
  <w:style w:type="paragraph" w:styleId="BalloonText">
    <w:name w:val="Balloon Text"/>
    <w:basedOn w:val="Normal"/>
    <w:link w:val="BalloonTextChar"/>
    <w:semiHidden/>
    <w:unhideWhenUsed/>
    <w:rsid w:val="00F54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54898"/>
    <w:rPr>
      <w:rFonts w:ascii="Tahoma" w:eastAsia="Cambria" w:hAnsi="Tahoma" w:cs="Tahoma"/>
      <w:color w:val="000000"/>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4734">
      <w:bodyDiv w:val="1"/>
      <w:marLeft w:val="0"/>
      <w:marRight w:val="0"/>
      <w:marTop w:val="0"/>
      <w:marBottom w:val="0"/>
      <w:divBdr>
        <w:top w:val="none" w:sz="0" w:space="0" w:color="auto"/>
        <w:left w:val="none" w:sz="0" w:space="0" w:color="auto"/>
        <w:bottom w:val="none" w:sz="0" w:space="0" w:color="auto"/>
        <w:right w:val="none" w:sz="0" w:space="0" w:color="auto"/>
      </w:divBdr>
    </w:div>
    <w:div w:id="1519080304">
      <w:bodyDiv w:val="1"/>
      <w:marLeft w:val="0"/>
      <w:marRight w:val="0"/>
      <w:marTop w:val="0"/>
      <w:marBottom w:val="0"/>
      <w:divBdr>
        <w:top w:val="none" w:sz="0" w:space="0" w:color="auto"/>
        <w:left w:val="none" w:sz="0" w:space="0" w:color="auto"/>
        <w:bottom w:val="none" w:sz="0" w:space="0" w:color="auto"/>
        <w:right w:val="none" w:sz="0" w:space="0" w:color="auto"/>
      </w:divBdr>
    </w:div>
    <w:div w:id="185349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hyperlink" Target="http://www.quakecentre.co.nz" TargetMode="External"/><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lgnz.co.nz/assets/Uploads/29617-three-Waters-Position-Paper.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UCQC\Templates\UCQC%20Wordtemplate_Curr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D43C6-5DC2-4F00-BD16-393A23979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UCQC Wordtemplate_Current</Template>
  <TotalTime>0</TotalTime>
  <Pages>12</Pages>
  <Words>2878</Words>
  <Characters>16407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[Title]</vt:lpstr>
    </vt:vector>
  </TitlesOfParts>
  <Company>University of Canterbury</Company>
  <LinksUpToDate>false</LinksUpToDate>
  <CharactersWithSpaces>19247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Greg Preston</dc:creator>
  <cp:lastModifiedBy>Greg Preston</cp:lastModifiedBy>
  <cp:revision>2</cp:revision>
  <cp:lastPrinted>2016-02-15T01:28:00Z</cp:lastPrinted>
  <dcterms:created xsi:type="dcterms:W3CDTF">2016-02-16T23:32:00Z</dcterms:created>
  <dcterms:modified xsi:type="dcterms:W3CDTF">2016-02-16T23:32:00Z</dcterms:modified>
</cp:coreProperties>
</file>